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ImpfZV (Brandenburg)</w:t>
      </w:r>
    </w:p>
    <w:p>
      <w:r>
        <w:rPr>
          <w:color w:val="555555"/>
          <w:sz w:val="18"/>
        </w:rPr>
        <w:t xml:space="preserve">Impfschäden-Zuständigkeitsverordnung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örtlich zuständig für die Versorgung nach</w:t>
      </w:r>
    </w:p>
    <w:p>
      <w:r>
        <w:t xml:space="preserve">§ 51 Abs. 1 des Bundes-Seuchengesetzes ist das Amt für Soziales und</w:t>
      </w:r>
    </w:p>
    <w:p>
      <w:r>
        <w:t xml:space="preserve">Versorgung, in dessen Bereich der Impfschaden verursacht worden ist.</w:t>
      </w:r>
    </w:p>
    <w:p>
      <w:r>
        <w:t xml:space="preserve">(2) örtlich zuständig für die Versorgung nach</w:t>
      </w:r>
    </w:p>
    <w:p>
      <w:r>
        <w:t xml:space="preserve">§ 51 Abs. 2 in Verbindung mit § 59 Abs. 2 Nr. 2 des</w:t>
      </w:r>
    </w:p>
    <w:p>
      <w:r>
        <w:t xml:space="preserve">Bundes-Seuchengesetzes ist das Amt für Soziales und Versorgung, in dessen</w:t>
      </w:r>
    </w:p>
    <w:p>
      <w:r>
        <w:t xml:space="preserve">Bereich der Geschädigte beim Eintritt des Impfschadens</w:t>
      </w:r>
    </w:p>
    <w:p>
      <w:r>
        <w:t xml:space="preserve">seinen Wohnsitz oder gewöhnlichen Aufenthalt hat (§ 59 Abs. 2</w:t>
      </w:r>
    </w:p>
    <w:p>
      <w:r>
        <w:t xml:space="preserve">Nr. 2 Buchstabe a des Bundes-Seuchengesetzes),</w:t>
      </w:r>
    </w:p>
    <w:p>
      <w:r>
        <w:t xml:space="preserve">zuletzt seinen Wohnsitz oder gewöhnlichen Aufenthalt gehabt hat</w:t>
      </w:r>
    </w:p>
    <w:p>
      <w:r>
        <w:t xml:space="preserve">(§ 59 Abs. 2 Nr. 2 Buchstabe b des Bundes-Seuchengesetzes),</w:t>
      </w:r>
    </w:p>
    <w:p>
      <w:r>
        <w:t xml:space="preserve">bei minderjährigen Geschädigten der Elternteil oder</w:t>
      </w:r>
    </w:p>
    <w:p>
      <w:r>
        <w:t xml:space="preserve">Sorgeberechtigte, mit dem der Geschädigte in</w:t>
      </w:r>
    </w:p>
    <w:p>
      <w:r>
        <w:t xml:space="preserve">häuslicher Gemeinschaft lebt, seinen Wohnsitz oder gewöhnlichen</w:t>
      </w:r>
    </w:p>
    <w:p>
      <w:r>
        <w:t xml:space="preserve">Aufenthalt hat oder, falls ein solcher Wohnsitz oder</w:t>
      </w:r>
    </w:p>
    <w:p>
      <w:r>
        <w:t xml:space="preserve">gewöhnlicher Aufenthalt nicht gegeben ist, zuletzt seinen Wohnsitz oder</w:t>
      </w:r>
    </w:p>
    <w:p>
      <w:r>
        <w:t xml:space="preserve">gewöhnlichen Aufenthalt gehabt hat (§ 59 Abs.</w:t>
      </w:r>
    </w:p>
    <w:p>
      <w:r>
        <w:t xml:space="preserve">2 Nr. 2 Buchstabe c des Bundes-Seuchengesetzes). Örtlich zuständig</w:t>
      </w:r>
    </w:p>
    <w:p>
      <w:r>
        <w:t xml:space="preserve">für die Versorgung nach § 51 Abs. 3 des Bundes-Seuchengesetzes ist</w:t>
      </w:r>
    </w:p>
    <w:p>
      <w:r>
        <w:t xml:space="preserve">das Amt für Soziales und Versorgung, in dessen Bereich der</w:t>
      </w:r>
    </w:p>
    <w:p>
      <w:r>
        <w:t xml:space="preserve">Geschädigte im Zeitpunkt des Inkrafttretens des Bundes-Seuchengesetzes</w:t>
      </w:r>
    </w:p>
    <w:p>
      <w:r>
        <w:t xml:space="preserve">seinen Wohnsitz oder gewöhnlichen Aufenthalt hat oder nach diesem</w:t>
      </w:r>
    </w:p>
    <w:p>
      <w:r>
        <w:t xml:space="preserve">Zeitpunkt erstmalig nimmt. Im übrigen gelten § 3 Abs. 2 bis 4 Satz 1</w:t>
      </w:r>
    </w:p>
    <w:p>
      <w:r>
        <w:t xml:space="preserve">und § 4 Abs. 2 des Gesetzes über das Verwaltungsverfahren der</w:t>
      </w:r>
    </w:p>
    <w:p>
      <w:r>
        <w:t xml:space="preserve">Kriegsopferversorgung entsprechend.</w:t>
      </w:r>
    </w:p>
    <w:p>
      <w:r>
        <w:rPr>
          <w:color w:val="555555"/>
          <w:sz w:val="17"/>
        </w:rPr>
        <w:t xml:space="preserve">Zitiervorschlag: § 1 ImpfZV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https://recht.nulegal.eu/gesetze/ImpfZV/1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