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ImmoWertV 2022</w:t>
      </w:r>
    </w:p>
    <w:p>
      <w:r>
        <w:rPr>
          <w:color w:val="555555"/>
          <w:sz w:val="18"/>
        </w:rPr>
        <w:t xml:space="preserve">Immobilienwertermittlungsverordnung</w:t>
      </w:r>
    </w:p>
    <w:p>
      <w:r>
        <w:rPr>
          <w:color w:val="555555"/>
          <w:sz w:val="18"/>
        </w:rPr>
        <w:t xml:space="preserve">Stand: 01.01.2022 (konsolidierte Textfassung, kein amtliches Inkrafttretensdatum)</w:t>
      </w:r>
    </w:p>
    <w:p>
      <w:r>
        <w:t xml:space="preserve">Auf Grund des § 199 Absatz 1 des Baugesetzbuchs in der Fassung der Bekanntmachung vom 3. November 2017 (BGBl. I S. 3634) verordnet die Bundesregierung:</w:t>
      </w:r>
    </w:p>
    <w:p>
      <w:r>
        <w:rPr>
          <w:color w:val="555555"/>
          <w:sz w:val="17"/>
        </w:rPr>
        <w:t xml:space="preserve">Zitiervorschlag: Eingangsformel ImmoWertV 2022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https://recht.nulegal.eu/gesetze/ImmoWertV%202022/eingangsformel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