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ImmoWertV 2022 — Finanzmathematischer Wert des Erbbaugrundstücks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Ausgangsgröße für die Ermittlung des finanzmathematischen Werts des Erbbaugrundstücks ist der Bodenwert des fiktiv unbelasteten Grundstücks.</w:t>
      </w:r>
    </w:p>
    <w:p>
      <w:r>
        <w:t xml:space="preserve">(2) Der finanzmathematische Wert des Erbbaugrundstücks wird ermittelt durch Bildung der Summe aus</w:t>
      </w:r>
    </w:p>
    <w:p>
      <w:pPr>
        <w:ind w:left="420"/>
      </w:pPr>
      <w:r>
        <w:t xml:space="preserve">1. dem über die Restlaufzeit des Erbbaurechts abgezinsten Bodenwert des fiktiv unbelasteten Grundstücks und</w:t>
      </w:r>
    </w:p>
    <w:p>
      <w:pPr>
        <w:ind w:left="420"/>
      </w:pPr>
      <w:r>
        <w:t xml:space="preserve">2. dem über die Restlaufzeit des Erbbaurechts kapitalisierten erzielbaren Erbbauzins im Sinne des § 50 Absatz 4.</w:t>
      </w:r>
    </w:p>
    <w:p>
      <w:r>
        <w:t xml:space="preserve">Bei einer über die Restlaufzeit hinausgehenden Restnutzungsdauer der baulichen Anlagen ist ergänzend zu Satz 1 der bei Zeitablauf nicht zu entschädigende Wertanteil der baulichen und sonstigen Anlagen abzuzinsen und hinzuzuaddieren.</w:t>
      </w:r>
    </w:p>
    <w:p>
      <w:r>
        <w:rPr>
          <w:color w:val="555555"/>
          <w:sz w:val="17"/>
        </w:rPr>
        <w:t xml:space="preserve">Zitiervorschlag: § 52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