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ImmoWertV 2022 — Vergleichswertverfahren für das Erbbaurecht</w:t>
      </w:r>
    </w:p>
    <w:p>
      <w:r>
        <w:rPr>
          <w:color w:val="555555"/>
          <w:sz w:val="18"/>
        </w:rPr>
        <w:t xml:space="preserve">Immobilienwertermittlungsverordnung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Im Vergleichswertverfahren kann der Wert des Erbbaurechts insbesondere ermittelt werden</w:t>
      </w:r>
    </w:p>
    <w:p>
      <w:pPr>
        <w:ind w:left="420"/>
      </w:pPr>
      <w:r>
        <w:t xml:space="preserve">1. aus Vergleichspreisen für veräußerte Erbbaurechte,</w:t>
      </w:r>
    </w:p>
    <w:p>
      <w:pPr>
        <w:ind w:left="420"/>
      </w:pPr>
      <w:r>
        <w:t xml:space="preserve">2. ausgehend von dem nach § 50 zu ermittelnden finanzmathematischen Wert des Erbbaurechts oder</w:t>
      </w:r>
    </w:p>
    <w:p>
      <w:pPr>
        <w:ind w:left="420"/>
      </w:pPr>
      <w:r>
        <w:t xml:space="preserve">3. ausgehend vom Wert des fiktiven Volleigentums im Sinne des Satzes 2.</w:t>
      </w:r>
    </w:p>
    <w:p>
      <w:r>
        <w:t xml:space="preserve">Der Wert des fiktiven Volleigentums ist der Wert des fiktiv unbelasteten Grundstücks, der dem marktangepassten vorläufigen Vergleichs-, Ertrags- oder Sachwert ohne Berücksichtigung von besonderen objektspezifischen Grundstücksmerkmalen entspricht.</w:t>
      </w:r>
    </w:p>
    <w:p>
      <w:r>
        <w:t xml:space="preserve">(2) Der vorläufige Vergleichswert des Erbbaurechts kann insbesondere ermittelt werden</w:t>
      </w:r>
    </w:p>
    <w:p>
      <w:pPr>
        <w:ind w:left="420"/>
      </w:pPr>
      <w:r>
        <w:t xml:space="preserve">1. auf der Grundlage einer statistischen Auswertung einer ausreichenden Anzahl von Vergleichspreisen,</w:t>
      </w:r>
    </w:p>
    <w:p>
      <w:pPr>
        <w:ind w:left="420"/>
      </w:pPr>
      <w:r>
        <w:t xml:space="preserve">2. durch Multiplikation des finanzmathematischen Werts des Erbbaurechts mit einem objektspezifisch angepassten Erbbaurechtsfaktor oder</w:t>
      </w:r>
    </w:p>
    <w:p>
      <w:pPr>
        <w:ind w:left="420"/>
      </w:pPr>
      <w:r>
        <w:t xml:space="preserve">3. durch Multiplikation des Werts des fiktiven Volleigentums mit einem objektspezifisch angepassten Erbbaurechtskoeffizienten.</w:t>
      </w:r>
    </w:p>
    <w:p>
      <w:r>
        <w:t xml:space="preserve">Zur Ermittlung des objektspezifisch angepassten Erbbaurechtsfaktors und des objektspezifisch angepassten Erbbaurechtskoeffizienten ist das nach dem § 22 oder § 23 ermittelte Datum auf seine Eignung im Sinne des § 9 Absatz 1 Satz 1 zu prüfen und bei etwaigen Abweichungen nach Maßgabe des § 9 Absatz 1 Satz 2 und 3 an die Gegebenheiten des Wertermittlungsobjekts anzupassen.</w:t>
      </w:r>
    </w:p>
    <w:p>
      <w:r>
        <w:t xml:space="preserve">(3) Der marktangepasste vorläufige Vergleichswert des Erbbaurechts entspricht nach Maßgabe des § 7 dem vorläufigen Vergleichswert des Erbbaurechts.</w:t>
      </w:r>
    </w:p>
    <w:p>
      <w:r>
        <w:t xml:space="preserve">(4) Der Vergleichswert des Erbbaurechts ergibt sich aus dem marktangepassten vorläufigen Vergleichswert des Erbbaurechts und der Berücksichtigung vorhandener besonderer objektspezifischer Grundstücksmerkmale des Wertermittlungsobjekts.</w:t>
      </w:r>
    </w:p>
    <w:p>
      <w:r>
        <w:rPr>
          <w:color w:val="555555"/>
          <w:sz w:val="17"/>
        </w:rPr>
        <w:t xml:space="preserve">Zitiervorschlag: § 49 ImmoWertV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https://recht.nulegal.eu/gesetze/ImmoWertV%202022/49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