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ImmoWertV 2022 — Allgemeines zum Erbbaurecht und Erbbaugrundstück</w:t>
      </w:r>
    </w:p>
    <w:p>
      <w:r>
        <w:rPr>
          <w:color w:val="555555"/>
          <w:sz w:val="18"/>
        </w:rPr>
        <w:t xml:space="preserve">Immobilienwertermittlungsverordnung</w:t>
      </w:r>
    </w:p>
    <w:p>
      <w:r>
        <w:rPr>
          <w:color w:val="555555"/>
          <w:sz w:val="18"/>
        </w:rPr>
        <w:t xml:space="preserve">Stand: 01.01.2022 (konsolidierte Textfassung, kein amtliches Inkrafttretensdatum)</w:t>
      </w:r>
    </w:p>
    <w:p>
      <w:r>
        <w:t xml:space="preserve">Der Verkehrswert des Erbbaurechts und der Verkehrswert des Erbbaugrundstücks sind unter Berücksichtigung der vertraglichen Vereinbarungen und der sonstigen wertbeeinflussenden Umstände in Abhängigkeit von den zur Verfügung stehenden Daten zu ermitteln. Der Verkehrswert des Erbbaurechts kann im Vergleichswertverfahren nach den §§ 49 und 50 oder auf andere geeignete Weise ermittelt werden. Der Verkehrswert des Erbbaugrundstücks kann im Vergleichswertverfahren nach den §§ 51 und 52 oder auf andere geeignete Weise ermittelt werden.</w:t>
      </w:r>
    </w:p>
    <w:p>
      <w:r>
        <w:rPr>
          <w:color w:val="555555"/>
          <w:sz w:val="17"/>
        </w:rPr>
        <w:t xml:space="preserve">Zitiervorschlag: § 48 ImmoWertV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https://recht.nulegal.eu/gesetze/ImmoWertV%202022/48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