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ImmoWertV 2022 — Allgemeines zu grundstücksbezogenen Rechten und Belastungen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Grundstücksbezogene Rechte und Belastungen können den Wert des begünstigten und den Wert des belasteten Grundstücks beeinflussen sowie Gegenstand einer eigenständigen Wertermittlung sein.</w:t>
      </w:r>
    </w:p>
    <w:p>
      <w:r>
        <w:t xml:space="preserve">(2) Als grundstücksbezogene Rechte und Belastungen kommen insbesondere in Betracht</w:t>
      </w:r>
    </w:p>
    <w:p>
      <w:pPr>
        <w:ind w:left="420"/>
      </w:pPr>
      <w:r>
        <w:t xml:space="preserve">1. grundstücksgleiche Rechte,</w:t>
      </w:r>
    </w:p>
    <w:p>
      <w:pPr>
        <w:ind w:left="420"/>
      </w:pPr>
      <w:r>
        <w:t xml:space="preserve">2. weitere beschränkte dingliche Rechte,</w:t>
      </w:r>
    </w:p>
    <w:p>
      <w:pPr>
        <w:ind w:left="420"/>
      </w:pPr>
      <w:r>
        <w:t xml:space="preserve">3. Baulasten,</w:t>
      </w:r>
    </w:p>
    <w:p>
      <w:pPr>
        <w:ind w:left="420"/>
      </w:pPr>
      <w:r>
        <w:t xml:space="preserve">4. grundstücksbezogene gesetzliche Beschränkungen des Eigentums sowie</w:t>
      </w:r>
    </w:p>
    <w:p>
      <w:pPr>
        <w:ind w:left="420"/>
      </w:pPr>
      <w:r>
        <w:t xml:space="preserve">5. miet-, pacht- und wohnungsrechtliche Bindungen.</w:t>
      </w:r>
    </w:p>
    <w:p>
      <w:r>
        <w:rPr>
          <w:color w:val="555555"/>
          <w:sz w:val="17"/>
        </w:rPr>
        <w:t xml:space="preserve">Zitiervorschlag: § 46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https://recht.nulegal.eu/gesetze/ImmoWertV%202022/46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