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ImmoWertV 2022 — Vorläufiger Sachwert der baulichen Anlagen; durchschnittliche Herstellungskosten</w:t>
      </w:r>
    </w:p>
    <w:p>
      <w:r>
        <w:rPr>
          <w:color w:val="555555"/>
          <w:sz w:val="18"/>
        </w:rPr>
        <w:t xml:space="preserve">Immobilienwertermittlungsverordnung</w:t>
      </w:r>
    </w:p>
    <w:p>
      <w:r>
        <w:rPr>
          <w:color w:val="555555"/>
          <w:sz w:val="18"/>
        </w:rPr>
        <w:t xml:space="preserve">Stand: 01.01.2022 (konsolidierte Textfassung, kein amtliches Inkrafttretensdatum)</w:t>
      </w:r>
    </w:p>
    <w:p>
      <w:r>
        <w:t xml:space="preserve">(1) Zur Ermittlung des vorläufigen Sachwerts der baulichen Anlagen, ohne bauliche Außenanlagen, sind die durchschnittlichen Herstellungskosten mit dem Regionalfaktor und dem Alterswertminderungsfaktor zu multiplizieren.</w:t>
      </w:r>
    </w:p>
    <w:p>
      <w:r>
        <w:t xml:space="preserve">(2) Die durchschnittlichen Herstellungskosten der baulichen Anlagen stehen für die aufzuwendenden Kosten, die sich unter Beachtung wirtschaftlicher Gesichtspunkte für die Errichtung eines dem Wertermittlungsobjekt nach Art und Standard vergleichbaren Neubaus am Wertermittlungsstichtag unter Zugrundelegung zeitgemäßer, wirtschaftlicher Bauweisen ergeben würden. Der Ermittlung der durchschnittlichen Herstellungskosten sind in der Regel modellhafte Kostenkennwerte zugrunde zu legen, die auf eine Flächen-, Raum- oder sonstige Bezugseinheit bezogen sind (Normalherstellungskosten), und mit der Anzahl der entsprechenden Bezugseinheiten der baulichen Anlage zu multiplizieren. Von den Normalherstellungskosten nicht erfasste werthaltige einzelne Bauteile sind durch marktübliche Zuschläge bei den durchschnittlichen Herstellungskosten zu berücksichtigen. Zur Umrechnung auf den Wertermittlungsstichtag ist der für den Wertermittlungsstichtag aktuelle und für die jeweilige Art der baulichen Anlage zutreffende Preisindex für die Bauwirtschaft des Statistischen Bundesamtes (Baupreisindex) zu verwenden. Ausnahmsweise können die durchschnittlichen Herstellungskosten der baulichen Anlagen nach den durchschnittlichen Kosten einzelner Bauleistungen ermittelt werden.</w:t>
      </w:r>
    </w:p>
    <w:p>
      <w:r>
        <w:t xml:space="preserve">(3) Der Regionalfaktor ist ein vom örtlich zuständigen Gutachterausschuss festgelegter Modellparameter zur Anpassung der durchschnittlichen Herstellungskosten an die Verhältnisse am örtlichen Grundstücksmarkt.</w:t>
      </w:r>
    </w:p>
    <w:p>
      <w:r>
        <w:rPr>
          <w:color w:val="555555"/>
          <w:sz w:val="17"/>
        </w:rPr>
        <w:t xml:space="preserve">Zitiervorschlag: § 36 ImmoWertV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https://recht.nulegal.eu/gesetze/ImmoWertV%202022/36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