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28 ImmoWertV 2022 — Allgemeines Ertragswertverfahren</w:t>
      </w:r>
    </w:p>
    <w:p>
      <w:r>
        <w:rPr>
          <w:color w:val="555555"/>
          <w:sz w:val="18"/>
        </w:rPr>
        <w:t xml:space="preserve">Immobilienwertermittlungsverordnung</w:t>
      </w:r>
    </w:p>
    <w:p>
      <w:r>
        <w:rPr>
          <w:color w:val="555555"/>
          <w:sz w:val="18"/>
        </w:rPr>
        <w:t xml:space="preserve">Stand: 01.01.2022 (konsolidierte Textfassung, kein amtliches Inkrafttretensdatum)</w:t>
      </w:r>
    </w:p>
    <w:p>
      <w:r>
        <w:t xml:space="preserve">Im allgemeinen Ertragswertverfahren wird der vorläufige Ertragswert ermittelt durch Bildung der Summe aus</w:t>
      </w:r>
    </w:p>
    <w:p>
      <w:pPr>
        <w:ind w:left="420"/>
      </w:pPr>
      <w:r>
        <w:t xml:space="preserve">1. dem kapitalisierten jährlichen Reinertragsanteil der baulichen Anlagen zum Wertermittlungsstichtag, der unter Abzug des Bodenwertverzinsungsbetrags ermittelt wurde (vorläufiger Ertragswert der baulichen Anlagen), und</w:t>
      </w:r>
    </w:p>
    <w:p>
      <w:pPr>
        <w:ind w:left="420"/>
      </w:pPr>
      <w:r>
        <w:t xml:space="preserve">2. dem Bodenwert.</w:t>
      </w:r>
    </w:p>
    <w:p>
      <w:r>
        <w:t xml:space="preserve">Der Ermittlung des Bodenwertverzinsungsbetrags und der Kapitalisierung des jährlichen Reinertragsanteils der baulichen Anlagen ist jeweils derselbe objektspezifisch angepasste Liegenschaftszinssatz zugrunde zu legen. Die Kapitalisierungsdauer entspricht der Restnutzungsdauer der baulichen Anlagen.</w:t>
      </w:r>
    </w:p>
    <w:p>
      <w:r>
        <w:rPr>
          <w:color w:val="555555"/>
          <w:sz w:val="17"/>
        </w:rPr>
        <w:t xml:space="preserve">Zitiervorschlag: § 28 ImmoWertV 2022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https://recht.nulegal.eu/gesetze/ImmoWertV%202022/28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