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ImmoWertV 2022 — Liegenschaftszinssätze; Sachwertfaktoren</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Liegenschaftszinssätze und Sachwertfaktoren dienen der Berücksichtigung der allgemeinen Wertverhältnisse auf dem jeweiligen Grundstücksmarkt, soweit diese nicht auf andere Weise zu berücksichtigen sind.</w:t>
      </w:r>
    </w:p>
    <w:p>
      <w:r>
        <w:t xml:space="preserve">(2) Liegenschaftszinssätze sind Kapitalisierungszinssätze, mit denen Verkehrswerte von Grundstücken je nach Grundstücksart im Durchschnitt marktüblich verzinst werden. Liegenschaftszinssätze werden nach den Grundsätzen des Ertragswertverfahrens nach den §§ 27 bis 34 auf der Grundlage von geeigneten Kaufpreisen und den ihnen entsprechenden Reinerträgen ermittelt.</w:t>
      </w:r>
    </w:p>
    <w:p>
      <w:r>
        <w:t xml:space="preserve">(3) Sachwertfaktoren geben das Verhältnis des vorläufigen marktangepassten Sachwerts zum vorläufigen Sachwert an. Die Sachwertfaktoren werden nach den Grundsätzen des Sachwertverfahrens nach den §§ 35 bis 38 auf der Grundlage von geeigneten Kaufpreisen und den ihnen entsprechenden vorläufigen Sachwerten ermittelt.</w:t>
      </w:r>
    </w:p>
    <w:p>
      <w:r>
        <w:rPr>
          <w:color w:val="555555"/>
          <w:sz w:val="17"/>
        </w:rPr>
        <w:t xml:space="preserve">Zitiervorschlag: § 21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