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ImmoWertV 2022 — Vergleichsfaktoren</w:t>
      </w:r>
    </w:p>
    <w:p>
      <w:r>
        <w:rPr>
          <w:color w:val="555555"/>
          <w:sz w:val="18"/>
        </w:rPr>
        <w:t xml:space="preserve">Immobilienwertermittlungsverordnung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Vergleichsfaktoren dienen der Ermittlung von Vergleichswerten insbesondere für bebaute Grundstücke.</w:t>
      </w:r>
    </w:p>
    <w:p>
      <w:r>
        <w:t xml:space="preserve">(2) Vergleichsfaktoren sind durchschnittliche, auf eine geeignete Bezugseinheit bezogene Werte für Grundstücke mit bestimmten wertbeeinflussenden Grundstücksmerkmalen (Normobjekte).</w:t>
      </w:r>
    </w:p>
    <w:p>
      <w:r>
        <w:t xml:space="preserve">(3) Vergleichsfaktoren werden ermittelt auf der Grundlage von</w:t>
      </w:r>
    </w:p>
    <w:p>
      <w:pPr>
        <w:ind w:left="420"/>
      </w:pPr>
      <w:r>
        <w:t xml:space="preserve">1. geeigneten Kaufpreisen und</w:t>
      </w:r>
    </w:p>
    <w:p>
      <w:pPr>
        <w:ind w:left="420"/>
      </w:pPr>
      <w:r>
        <w:t xml:space="preserve">2. der diesen Kaufpreisen entsprechenden Flächen- oder Raumeinheit (Gebäudefaktoren), den diesen Kaufpreisen entsprechenden marktüblich erzielbaren jährlichen Erträgen (Ertragsfaktoren) oder einer sonstigen geeigneten Bezugseinheit.</w:t>
      </w:r>
    </w:p>
    <w:p>
      <w:r>
        <w:rPr>
          <w:color w:val="555555"/>
          <w:sz w:val="17"/>
        </w:rPr>
        <w:t xml:space="preserve">Zitiervorschlag: § 20 ImmoWertV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https://recht.nulegal.eu/gesetze/ImmoWertV%202022/20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