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ImmoWertV 2022 — Bodenrichtwert und Bodenrichtwertgrundstück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Bodenrichtwert ist bezogen auf einen Quadratmeter Grundstücksfläche des Bodenrichtwertgrundstücks.</w:t>
      </w:r>
    </w:p>
    <w:p>
      <w:r>
        <w:t xml:space="preserve">(2) Das Bodenrichtwertgrundstück ist ein unbebautes und fiktives Grundstück, dessen Grundstücksmerkmale weitgehend mit den vorherrschenden grund- und bodenbezogenen wertbeeinflussenden Grundstücksmerkmalen in der nach § 15 gebildeten Bodenrichtwertzone übereinstimmen. Je Bodenrichtwertzone ist ein Bodenrichtwert anzugeben. Bodenrichtwertspannen sind nicht zulässig.</w:t>
      </w:r>
    </w:p>
    <w:p>
      <w:r>
        <w:rPr>
          <w:color w:val="555555"/>
          <w:sz w:val="17"/>
        </w:rPr>
        <w:t xml:space="preserve">Zitiervorschlag: § 13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https://recht.nulegal.eu/gesetze/ImmoWertV%202022/13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