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ImmoKWPLV — Inkrafttreten</w:t>
      </w:r>
    </w:p>
    <w:p>
      <w:r>
        <w:rPr>
          <w:color w:val="555555"/>
          <w:sz w:val="18"/>
        </w:rPr>
        <w:t xml:space="preserve">Immobiliar-Kreditwürdigkeitsprüfungsleitlinien-Verordnung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8 ImmoKWPLV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https://recht.nulegal.eu/gesetze/ImmoKWPLV/8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