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ImmoKWPLV — Anforderungen an die Einschätzung der Wahrscheinlichkeit</w:t>
      </w:r>
    </w:p>
    <w:p>
      <w:r>
        <w:rPr>
          <w:color w:val="555555"/>
          <w:sz w:val="18"/>
        </w:rPr>
        <w:t xml:space="preserve">Immobiliar-Kreditwürdigkeitsprüfungsleitlinien-Verordnung</w:t>
      </w:r>
    </w:p>
    <w:p>
      <w:r>
        <w:rPr>
          <w:color w:val="555555"/>
          <w:sz w:val="18"/>
        </w:rPr>
        <w:t xml:space="preserve">Stand: 10.06.2019 (konsolidierte Textfassung, kein amtliches Inkrafttretensdatum)</w:t>
      </w:r>
    </w:p>
    <w:p>
      <w:r>
        <w:t xml:space="preserve">(1) Bei der Prognose, welche künftigen Entwicklungen wahrscheinlich sind, kann der Darlehensgeber einen nach der Lebenserfahrung anzunehmenden Verlauf der Dinge unterstellen, wenn nicht konkrete Anhaltspunkte für einen abweichenden Verlauf vorliegen.</w:t>
      </w:r>
    </w:p>
    <w:p>
      <w:r>
        <w:t xml:space="preserve">(2) Der Prognosezeitraum richtet sich nach dem Zeitraum, in dem die vertraglichen Verpflichtungen zu erfüllen sind. Je weiter der Prognosezeitraum in die Zukunft reicht, desto stärker kann auf Erfahrungswerte und Schätzungen zurückgegriffen werden.</w:t>
      </w:r>
    </w:p>
    <w:p>
      <w:r>
        <w:t xml:space="preserve">(3) Die wirtschaftlichen Auswirkungen künftiger Ereignisse können aufgrund von Erfahrungswerten geschätzt werden, soweit aussagekräftige Informationen nicht mit verhältnismäßigem Aufwand zu ermitteln sind.</w:t>
      </w:r>
    </w:p>
    <w:p>
      <w:r>
        <w:rPr>
          <w:color w:val="555555"/>
          <w:sz w:val="17"/>
        </w:rPr>
        <w:t xml:space="preserve">Zitiervorschlag: § 3 ImmoKWPLV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https://recht.nulegal.eu/gesetze/ImmoKWPLV/3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