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ImmoKWPLV — Grundlagen der Kreditwürdigkeitsprüfung</w:t>
      </w:r>
    </w:p>
    <w:p>
      <w:r>
        <w:rPr>
          <w:color w:val="555555"/>
          <w:sz w:val="18"/>
        </w:rPr>
        <w:t xml:space="preserve">Immobiliar-Kreditwürdigkeitsprüfungsleitlinien-Verordnung</w:t>
      </w:r>
    </w:p>
    <w:p>
      <w:r>
        <w:rPr>
          <w:color w:val="555555"/>
          <w:sz w:val="18"/>
        </w:rPr>
        <w:t xml:space="preserve">Stand: 10.06.2019 (konsolidierte Textfassung, kein amtliches Inkrafttretensdatum)</w:t>
      </w:r>
    </w:p>
    <w:p>
      <w:r>
        <w:t xml:space="preserve">(1) Die Kreditwürdigkeitsprüfung bei einem Immobiliar-Verbraucherdarlehensvertrag dient der Bewertung, ob es wahrscheinlich ist, dass der Darlehensnehmer seinen Verpflichtungen, die im Zusammenhang mit dem Darlehensvertrag stehen, vertragsgemäß nachkommen wird. Hierfür muss der Darlehensgeber nach einer Gesamtschau der relevanten Faktoren zu einer vernünftigerweise vertretbaren Prognose gelangen.</w:t>
      </w:r>
    </w:p>
    <w:p>
      <w:r>
        <w:t xml:space="preserve">(2) Der Darlehensgeber hat die Kreditwürdigkeit des Darlehensnehmers auf der Grundlage notwendiger, ausreichender und angemessener Informationen zu Einkommen, Ausgaben sowie anderen finanziellen und wirtschaftlichen Umständen des Darlehensnehmers eingehend zu prüfen.</w:t>
      </w:r>
    </w:p>
    <w:p>
      <w:r>
        <w:t xml:space="preserve">(3) Der Umfang der Prüfung der zu berücksichtigenden Faktoren und der hierfür einzuholenden Informationen sowie die anzuwendenden Verfahren richten sich nach dem jeweiligen Einzelfall. Auch wenn der Darlehensgeber standardisierte Vorgaben für die Kreditwürdigkeitsprüfung anwendet, kann er von diesen abweichen und auf die besonderen Umstände des Einzelfalles abstellen.</w:t>
      </w:r>
    </w:p>
    <w:p>
      <w:r>
        <w:rPr>
          <w:color w:val="555555"/>
          <w:sz w:val="17"/>
        </w:rPr>
        <w:t xml:space="preserve">Zitiervorschlag: § 2 ImmoKWPLV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https://recht.nulegal.eu/gesetze/ImmoKWPLV/2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