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ImmoKWPLV — Anwendungsbereich</w:t>
      </w:r>
    </w:p>
    <w:p>
      <w:r>
        <w:rPr>
          <w:color w:val="555555"/>
          <w:sz w:val="18"/>
        </w:rPr>
        <w:t xml:space="preserve">Immobiliar-Kreditwürdigkeitsprüfungsleitlinien-Verordnung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findet Anwendung auf die Kreditwürdigkeitsprüfung bei Immobiliar-Verbraucherdarlehensverträgen nach den §§ 505a und 505b Absatz 2 bis 4 des Bürgerlichen Gesetzbuchs und nach § 18a Absatz 1 bis 5 des Kreditwesengesetzes.</w:t>
      </w:r>
    </w:p>
    <w:p>
      <w:r>
        <w:rPr>
          <w:color w:val="555555"/>
          <w:sz w:val="17"/>
        </w:rPr>
        <w:t xml:space="preserve">Zitiervorschlag: § 1 ImmoKWPLV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https://recht.nulegal.eu/gesetze/ImmoKWPLV/1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