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ImmoFachwPrV — Ausbildereignung</w:t>
      </w:r>
    </w:p>
    <w:p>
      <w:r>
        <w:rPr>
          <w:color w:val="555555"/>
          <w:sz w:val="18"/>
        </w:rPr>
        <w:t xml:space="preserve">Verordnung über die Prüfung zum anerkannten Abschluss Geprüfter Immobilienfachwirt/Geprüfte Immobilienfachwirtin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Wer die Prüfung zum Geprüften Immobilienfachwirt/zur Geprüften Immobilienfachwirtin nach dieser Verordnung bestanden hat, ist vom schriftlichen Teil der Prüfung der nach dem Berufsbildungsgesetz erlassenen Ausbilder-Eignungsverordnung befreit.</w:t>
      </w:r>
    </w:p>
    <w:p>
      <w:r>
        <w:rPr>
          <w:color w:val="555555"/>
          <w:sz w:val="17"/>
        </w:rPr>
        <w:t xml:space="preserve">Zitiervorschlag: § 10 ImmoFachwPrV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https://recht.nulegal.eu/gesetze/ImmoFachwPrV/10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