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ImmoDarlSachkV</w:t>
      </w:r>
    </w:p>
    <w:p>
      <w:r>
        <w:rPr>
          <w:color w:val="555555"/>
          <w:sz w:val="18"/>
        </w:rPr>
        <w:t xml:space="preserve">Immobiliar-Darlehensvergabe-Sachkunde-Verordnung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18a Absatz 11 Satz 2 des Kreditwesengesetzes, der durch Artikel 12 Nummer 3 des Gesetzes vom 11. März 2016 (BGBl. I S. 396) eingefügt worden ist, in Verbindung mit § 1 Nummer 5 der Verordnung zur Übertragung von Befugnissen zum Erlass von Rechtsverordnungen auf die Bundesanstalt für Finanzdienstleistungsaufsicht vom 13. Dezember 2002 (BGBl. 2003 I S. 3), der zuletzt durch Artikel 1 Nummer 1 der Verordnung vom 8. April 2016 (BGBl. I S. 622) geändert worden ist, verordnet die Bundesanstalt für Finanzdienstleistungsaufsicht:</w:t>
      </w:r>
    </w:p>
    <w:p>
      <w:r>
        <w:rPr>
          <w:color w:val="555555"/>
          <w:sz w:val="17"/>
        </w:rPr>
        <w:t xml:space="preserve">Zitiervorschlag: Eingangsformel ImmoDarlSachkV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https://recht.nulegal.eu/gesetze/ImmoDarlSachkV/eingangsformel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