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ImmoDarlSachkV — Berufsqualifikation als Sachkundenachweis</w:t>
      </w:r>
    </w:p>
    <w:p>
      <w:r>
        <w:rPr>
          <w:color w:val="555555"/>
          <w:sz w:val="18"/>
        </w:rPr>
        <w:t xml:space="preserve">Immobiliar-Darlehensvergabe-Sachkunde-Verordnung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erforderliche Sachkunde gilt insbesondere durch eine der folgenden Berufsabschlüsse oder Berufsqualifikationen als nachgewiesen:</w:t>
      </w:r>
    </w:p>
    <w:p>
      <w:pPr>
        <w:ind w:left="420"/>
      </w:pPr>
      <w:r>
        <w:t xml:space="preserve">1. den staatlich anerkannten Abschluss</w:t>
      </w:r>
    </w:p>
    <w:p>
      <w:pPr>
        <w:ind w:left="780"/>
      </w:pPr>
      <w:r>
        <w:t xml:space="preserve">a) als Bankkaufmann oder Bankkauffrau oder</w:t>
      </w:r>
    </w:p>
    <w:p>
      <w:pPr>
        <w:ind w:left="780"/>
      </w:pPr>
      <w:r>
        <w:t xml:space="preserve">b) als Sparkassenkaufmann oder Sparkassenkauffrau, der vor der Aufhebung der staatlichen Anerkennung durch die Verordnung über die Aufhebung der staatlichen Anerkennung des Ausbildungsberufs Sparkassenkaufmann/Sparkassenkauffrau vom 19. April 1995 (BGBl. I S. 527) oder danach gemäß den dort genannten Übergangsbestimmungen erworben wurde,</w:t>
      </w:r>
    </w:p>
    <w:p>
      <w:pPr>
        <w:ind w:left="420"/>
      </w:pPr>
      <w:r>
        <w:t xml:space="preserve">2. den staatlich anerkannten Abschluss als Immobilienkaufmann oder Immobilienkauffrau,</w:t>
      </w:r>
    </w:p>
    <w:p>
      <w:pPr>
        <w:ind w:left="420"/>
      </w:pPr>
      <w:r>
        <w:t xml:space="preserve">3. den staatlich anerkannten Abschluss als Kaufmann oder Kauffrau für Versicherungen und Finanzen in der Fachrichtung Finanzberatung, wenn</w:t>
      </w:r>
    </w:p>
    <w:p>
      <w:pPr>
        <w:ind w:left="780"/>
      </w:pPr>
      <w:r>
        <w:t xml:space="preserve">a) die Abschlussprüfung auf der Grundlage der bis zum 31. Juli 2014 geltenden Fassung der Verordnung über die Berufsausbildung zum Kaufmann für Versicherungen und Finanzen/zur Kauffrau für Versicherungen und Finanzen abgelegt wurde oder</w:t>
      </w:r>
    </w:p>
    <w:p>
      <w:pPr>
        <w:ind w:left="780"/>
      </w:pPr>
      <w:r>
        <w:t xml:space="preserve">b) die Abschlussprüfung auf der Grundlage der ab dem 1. August 2014 geltenden Fassung der Verordnung über die Berufsausbildung zum Kaufmann für Versicherungen und Finanzen/zur Kauffrau für Versicherungen und Finanzen abgelegt wurde und der Mitarbeiter die Wahlqualifikationseinheit „Private Immobilienfinanzierung und Versicherungen“ gewählt hatte,</w:t>
      </w:r>
    </w:p>
    <w:p>
      <w:pPr>
        <w:ind w:left="420"/>
      </w:pPr>
      <w:r>
        <w:t xml:space="preserve">4. den Abschluss als Geprüfter Bankfachwirt oder Geprüfte Bankfachwirtin,</w:t>
      </w:r>
    </w:p>
    <w:p>
      <w:pPr>
        <w:ind w:left="420"/>
      </w:pPr>
      <w:r>
        <w:t xml:space="preserve">5. den Abschluss als Geprüfter Immobilienfachwirt oder Geprüfte Immobilienfachwirtin,</w:t>
      </w:r>
    </w:p>
    <w:p>
      <w:pPr>
        <w:ind w:left="420"/>
      </w:pPr>
      <w:r>
        <w:t xml:space="preserve">6. den Abschluss als Geprüfter Fachwirt für Versicherungen und Finanzen oder als Geprüfte Fachwirtin für Versicherungen und Finanzen oder</w:t>
      </w:r>
    </w:p>
    <w:p>
      <w:pPr>
        <w:ind w:left="420"/>
      </w:pPr>
      <w:r>
        <w:t xml:space="preserve">7. den Abschluss als Geprüfter Fachberater für Finanzdienstleistungen oder als Geprüfte Fachberaterin für Finanzdienstleistungen, wenn zusätzlich eine mindestens zweijährige Berufserfahrung im Bereich der Immobiliardarlehensvergabe vorliegt.</w:t>
      </w:r>
    </w:p>
    <w:p>
      <w:r>
        <w:t xml:space="preserve">(2) Als Nachweis wird außerdem der Abschluss eines Studiums der Mathematik, der Wirtschafts- oder Rechtswissenschaften (Hochschul- oder Fachhochschulabschluss) anerkannt, wenn darüber hinaus eine fachspezifische Berufspraxis nachgewiesen werden kann, die gewährleistet, dass der Mitarbeiter den an die Sachkunde zu stellenden Anforderungen genügt.</w:t>
      </w:r>
    </w:p>
    <w:p>
      <w:r>
        <w:rPr>
          <w:color w:val="555555"/>
          <w:sz w:val="17"/>
        </w:rPr>
        <w:t xml:space="preserve">Zitiervorschlag: § 2 ImmoDarlSachkV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https://recht.nulegal.eu/gesetze/ImmoDarlSachkV/2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