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ImmVermV — Übergangsregelung</w:t>
      </w:r>
    </w:p>
    <w:p>
      <w:r>
        <w:rPr>
          <w:color w:val="555555"/>
          <w:sz w:val="18"/>
        </w:rPr>
        <w:t xml:space="preserve">Immobiliardarlehensvermittlungsverordnung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vor dem 21. März 2016 abgelegter Abschluss nach dem Standard des gemeinsamen Lernzielkatalogs[2] der deutschen Bausparkassen des Berufsbildungswerks der Bausparkassen e. V., der Industrie- und Handelskammer Potsdam, der Industrie- und Handelskammer Nord Westfalen, der Sparkassenakademie Niedersachsen, der Sparkassenakademie Schloss Waldthausen, der Sparkassenakademie Baden-Württemberg, der Wirtschaftsakademie Schleswig Holstein/Niederlassung Lübeck oder der Beruflichen Fortbildungszentren der Bayerischen Wirtschaft (BFZ) gemeinnützige GmbH steht der erfolgreich abgelegten Sachkundeprüfung gleich.</w:t>
      </w:r>
    </w:p>
    <w:p>
      <w:r>
        <w:t xml:space="preserve">2 Nichtamtlicher Hinweis: Ausbildungsprogramm für die Qualifikation „Bauspar- und Finanzfachmann/-fachfrau (BWB)“, Berufsbildungswerk der Bausparkassen (BWB) e. V., Dezember 2012, http://www.bwbprofi.de/_files/files/Ausbildungsprogramm_ab_2013.pdf; Lernzielkatalog, Herausgeber: Bundesgeschäftsstelle Landesbausparkassen, Januar 2012.</w:t>
      </w:r>
    </w:p>
    <w:p>
      <w:r>
        <w:rPr>
          <w:color w:val="555555"/>
          <w:sz w:val="17"/>
        </w:rPr>
        <w:t xml:space="preserve">Zitiervorschlag: § 20 ImmVermV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https://recht.nulegal.eu/gesetze/ImmVermV/20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