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ImSchZV (Brandenburg) — Zuständigkeit der unteren Bauaufsichtsbehörden</w:t>
      </w:r>
    </w:p>
    <w:p>
      <w:r>
        <w:rPr>
          <w:color w:val="555555"/>
          <w:sz w:val="18"/>
        </w:rPr>
        <w:t xml:space="preserve">Immissionsschutzzuständigkeitsverordnung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Landkreise, die kreisfreien Städte und die Großen kreisangehörigen Städte, denen die Aufgaben der unteren Bauaufsichtsbehörde nach § 57 Absatz 1 Satz 2 der Brandenburgischen Bauordnung übertragen wurden, sind zuständig für die Entscheidung über die Erteilung von Ausnahmen vom Bauverbot nach § 5 des Gesetzes zum Schutz gegen Fluglärm.</w:t>
      </w:r>
    </w:p>
    <w:p>
      <w:r>
        <w:t xml:space="preserve">(2) Die Landkreise, die kreisfreien Städte und die Großen kreisangehörigen Städte, denen die Aufgaben der unteren Bauaufsichtsbehörde nach § 57 Absatz 1 Satz 2 der Brandenburgischen Bauordnung übertragen wurden, nehmen die Aufgabe nach Absatz 1 als Pflichtaufgabe zur Erfüllung nach Weisung wahr. Die Sonderaufsicht über die in Absatz 1 genannte Aufgabe führt das für Bauwesen zuständige Ministerium der Landesregierung als oberste Sonderaufsichtsbehörde.</w:t>
      </w:r>
    </w:p>
    <w:p>
      <w:r>
        <w:rPr>
          <w:color w:val="555555"/>
          <w:sz w:val="17"/>
        </w:rPr>
        <w:t xml:space="preserve">Zitiervorschlag: § 9 ImSchZV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https://recht.nulegal.eu/gesetze/ImSchZV/9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