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ImSchZV (Brandenburg) — Zuständigkeit der Enteignungsbehörde</w:t>
      </w:r>
    </w:p>
    <w:p>
      <w:r>
        <w:rPr>
          <w:color w:val="555555"/>
          <w:sz w:val="18"/>
        </w:rPr>
        <w:t xml:space="preserve">Immissionsschutzzuständigkeitsverordnung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Die Enteignungsbehörde ist zuständig für die Festsetzung der Entschädigung nach § 42 Abs. 3 des Bundes-Immissionsschutzgesetzes.</w:t>
      </w:r>
    </w:p>
    <w:p>
      <w:r>
        <w:rPr>
          <w:color w:val="555555"/>
          <w:sz w:val="17"/>
        </w:rPr>
        <w:t xml:space="preserve">Zitiervorschlag: § 5 ImSchZV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https://recht.nulegal.eu/gesetze/ImSchZV/5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