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ImSchZV (Brandenburg) — Zuständigkeit des für Immissionsschutz zuständigen Mitgliedes der Landesregierung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Ministerium für Landwirtschaft, Umwelt und Klimaschutz ist die zuständige oberste Landesbehörde und die zuständige oberste Immissionsschutzbehörde des Landes im Sinne des Bundes-Immissionsschutzgesetzes und der auf Grund dieses Gesetzes erlassenen Rechtsverordnungen.</w:t>
      </w:r>
    </w:p>
    <w:p>
      <w:r>
        <w:t xml:space="preserve">(2) Das Ministerium für Landwirtschaft, Umwelt und Klimaschutz ist zuständig für</w:t>
      </w:r>
    </w:p>
    <w:p>
      <w:r>
        <w:t xml:space="preserve">die Festlegung von Untersuchungsgebieten durch Rechtsverordnung nach § 44 Abs. 2 des Bundes-Immissionsschutzgesetzes,</w:t>
      </w:r>
    </w:p>
    <w:p>
      <w:r>
        <w:t xml:space="preserve">die Aufstellung und Veröffentlichung von Luftreinhalteplänen und der Pläne für kurzfristig zu ergreifende Maßnahmen nach § 47 Abs. 1 bis 3 und 5a des Bundes-Immissionsschutzgesetzes,</w:t>
      </w:r>
    </w:p>
    <w:p>
      <w:r>
        <w:t xml:space="preserve">die Mitteilungen nach § 47e Abs. 2 des Bundes-Immissionsschutzgesetzes,</w:t>
      </w:r>
    </w:p>
    <w:p>
      <w:r>
        <w:t xml:space="preserve">die Aufstellung von Überwachungsplänen nach § 52 Absatz 1b in Verbindung mit § 52a Absatz 1 des Bundes-Immissionsschutzgesetzes,</w:t>
      </w:r>
    </w:p>
    <w:p>
      <w:r>
        <w:t xml:space="preserve">die Übermittlung von Informationen über die Umsetzung der Richtlinie 2010/75/EU nach § 61 des Bundes-Immissionsschutzgesetzes,</w:t>
      </w:r>
    </w:p>
    <w:p>
      <w:r>
        <w:t xml:space="preserve">die Entgegennahme und Weiterleitung des Verzeichnisses und der Mitteilung an das Bundesministerium für Umwelt, Naturschutz und nukleare Sicherheit nach § 14 Abs. 1 der Störfall-Verordnung (12. BImSchV),</w:t>
      </w:r>
    </w:p>
    <w:p>
      <w:r>
        <w:t xml:space="preserve">die Entgegennahme des Landesberichts nach § 14 Abs. 2 der Störfall-Verordnung (12. BImSchV) und die Weiterleitung an das Bundesministerium für Umwelt, Naturschutz und nukleare Sicherheit für die Europäische Kommission,</w:t>
      </w:r>
    </w:p>
    <w:p>
      <w:r>
        <w:t xml:space="preserve">die Entgegennahme der Kopie der Mitteilung nach § 19 Abs. 2, des Ergebnisses der Analyse nach § 19 Abs. 3 Nr. 1 und der Empfehlungen nach § 19 Abs. 3 Nr. 3 der Störfall-Verordnung und Weiterleitung an das Bundesministerium für Umwelt, Naturschutz und nukleare Sicherheit nach § 19 Abs. 4 und 5 der Störfall-Verordnung (12. BImSchV),</w:t>
      </w:r>
    </w:p>
    <w:p>
      <w:r>
        <w:t xml:space="preserve">das Entgegennehmen und Weiterleiten der Ausnahmegenehmigungen an das Bundesministerium für Umwelt, Naturschutz und nukleare Sicherheit § 26 Absatz 2 der Verordnung über Großfeuerungs- und Gasturbinenanlagen (13. BImSchV),</w:t>
      </w:r>
    </w:p>
    <w:p>
      <w:r>
        <w:t xml:space="preserve">die Bekanntgabe der Stelle nach § 10 Absatz 3 der Verordnung über die Verbrennung und die Mitverbrennung von Abfällen (17. BImSchV),</w:t>
      </w:r>
    </w:p>
    <w:p>
      <w:r>
        <w:t xml:space="preserve">die Festlegung der Gebiete und Ballungsräume nach § 11 der Verordnung über Luftqualitätsstandards und Emissionshöchstmengen (39. BImSchV),</w:t>
      </w:r>
    </w:p>
    <w:p>
      <w:r>
        <w:t xml:space="preserve">das Erstellen der Liste von Gebieten und Ballungsräumen, in denen der Zielwert für Arsen, Kadmium, Nickel und Benzo[a]pyren erreicht, unter- oder überschritten wird, und darstellen der ergriffenen Maßnahmen, um die Zielwerte zu erreichen nach den §§ 20 und 22 der Verordnung über Luftqualitätsstandards und Emissionshöchstmengen (39. BImSchV),</w:t>
      </w:r>
    </w:p>
    <w:p>
      <w:r>
        <w:t xml:space="preserve">das Übermitteln der Aufstellung über ausgewiesene Gebiete und Ballungsräume, in denen die Überschreitungen der Immissionsgrenzwerte für einen bestimmten Schadstoff Emissionsbeiträgen aus natürlichen Quellen zuzurechnen sind nach § 24 Absatz 1 der Verordnung über Luftqualitätsstandards und Emissionshöchstmengen (39. BImSchV),</w:t>
      </w:r>
    </w:p>
    <w:p>
      <w:r>
        <w:t xml:space="preserve">die Unterrichtungs- und Berichtspflichten nach § 30 Absatz 1 bis 6 und Absatz 8 der Verordnung über Luftqualitätsstandards und Emissionshöchstmengen (39. BImSchV),</w:t>
      </w:r>
    </w:p>
    <w:p>
      <w:r>
        <w:t xml:space="preserve">die Übermittlung von Daten und Informationen zur Weiterleitung an die Kommission nach § 24 Absatz 1, § 25 Absatz 1 und nach den §§ 31 und 32 Absatz 2 und 3 der Verordnung über Luftqualitätsstandards und Emissionshöchstmengen (39. BImSchV),</w:t>
      </w:r>
    </w:p>
    <w:p>
      <w:r>
        <w:t xml:space="preserve">die Mitteilung an das Bundesministerium für Umwelt, Naturschutz und nukleare Sicherheit über die Standorte der betriebenen Probenahmestellen nach Anlage 5 (zu den §§ 14 und 15) der Verordnung über Luftqualitätsstandards und Emissionshöchstmengen (39. BImSchV),</w:t>
      </w:r>
    </w:p>
    <w:p>
      <w:r>
        <w:t xml:space="preserve">die Übermittlung der Daten an das Bundesministerium für Umwelt, Naturschutz und nukleare Sicherheit zur Weiterleitung an die Kommission nach § 24 Absatz 1, § 25 Absatz 1, §§ 31 und 32 der Verordnung über Luftqualitätsstandards und Emissionshöchstmengen (39. BImSchV).</w:t>
      </w:r>
    </w:p>
    <w:p>
      <w:r>
        <w:rPr>
          <w:color w:val="555555"/>
          <w:sz w:val="17"/>
        </w:rPr>
        <w:t xml:space="preserve">Zitiervorschlag: § 3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