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ImSchZV (Brandenburg) — Übertragung von Ermächtigungen zum Erlass von Rechtsverordnungen</w:t>
      </w:r>
    </w:p>
    <w:p>
      <w:r>
        <w:rPr>
          <w:color w:val="555555"/>
          <w:sz w:val="18"/>
        </w:rPr>
        <w:t xml:space="preserve">Immissionsschutzzuständigkeitsverordnung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(1) Die Ermächtigung zum Erlass von Rechtsverordnungen nach § 36 Abs. 2 Satz 1 des Gesetzes über Ordnungswidrigkeiten wird für Ordnungswidrigkeiten nach dem Landesimmissionsschutzgesetz oder auf dessen Grundlage ergangener Rechtsverordnungen auf das für den Immissionsschutz zuständige Mitglied der Landesregierung übertragen.</w:t>
      </w:r>
    </w:p>
    <w:p>
      <w:r>
        <w:t xml:space="preserve">(2) Die Ermächtigung zum Erlass von Rechtsverordnungen nach § 23 Abs. 2 Satz 1 des Bundes-Immissionsschutzgesetzes wird auf das für Immissionsschutz zuständige Mitglied der Landesregierung übertragen.</w:t>
      </w:r>
    </w:p>
    <w:p>
      <w:r>
        <w:t xml:space="preserve">(3) Die Ermächtigung zum Erlass einer Rechtsverordnung nach § 47 Abs. 7 des Bundes-Immissionsschutzgesetzes wird auf das für Immissionsschutz zuständige Mitglied der Landesregierung übertragen.</w:t>
      </w:r>
    </w:p>
    <w:p>
      <w:r>
        <w:t xml:space="preserve">(4) Die Ermächtigung zum Erlass von Rechtsverordnungen nach § 4 Abs. 1 und 2 des Landesimmissionsschutzgesetzes wird auf das für Immissionsschutz zuständige Mitglied der Landesregierung übertragen; die Verordnung ist im Einvernehmen mit dem für Arbeitsschutz oder Wirtschaft zuständigen Mitglied der Landesregierung zu erlassen, soweit deren jeweilige Belange berührt sind.</w:t>
      </w:r>
    </w:p>
    <w:p>
      <w:r>
        <w:rPr>
          <w:color w:val="555555"/>
          <w:sz w:val="17"/>
        </w:rPr>
        <w:t xml:space="preserve">Zitiervorschlag: § 2 ImSchZV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https://recht.nulegal.eu/gesetze/ImSchZV/2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