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ImSchZV (Brandenburg) — Zuständigkeit der Landkreise, kreisfreien Städte und Großen kreisangehörigen Städte</w:t>
      </w:r>
    </w:p>
    <w:p>
      <w:r>
        <w:rPr>
          <w:color w:val="555555"/>
          <w:sz w:val="18"/>
        </w:rPr>
        <w:t xml:space="preserve">Immissionsschutzzuständigkeitsverordnung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(1) Die Landkreise, die kreisfreien Städte und die Großen kreisangehörigen Städte Eberswalde, Eisenhüttenstadt und Schwedt/Oder sind als Sonderordnungsbehörden für den Vollzug der Verordnung über kleine und mittlere Feuerungsanlagen (1. BImSchV) zuständig, sofern dort keine andere Regelung enthalten ist und § 1 Abs. 3 sowie § 7 Nr. 2 keine anderen Regelungen enthalten.</w:t>
      </w:r>
    </w:p>
    <w:p>
      <w:r>
        <w:t xml:space="preserve">(2) Die Sonderaufsicht führt das für Immissionsschutz zuständige Mitglied der Landesregierung als oberste Immissionsschutzbehörde.</w:t>
      </w:r>
    </w:p>
    <w:p>
      <w:r>
        <w:rPr>
          <w:color w:val="555555"/>
          <w:sz w:val="17"/>
        </w:rPr>
        <w:t xml:space="preserve">Zitiervorschlag: § 13 ImSchZV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https://recht.nulegal.eu/gesetze/ImSchZV/13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