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ImSchZV (Brandenburg) — Zuständigkeit der Straßenverkehrsbehörden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Landkreise, die kreisfreien Städte und die Großen kreisangehörigen Städte Eberswalde, Eisenhüttenstadt und Schwedt/Oder als Straßenverkehrsbehörden und der Landesbetrieb Straßenwesen, Niederlassung Autobahn sowie die Gemeinden als Straßenverkehrsbehörde nach § 5 Abs. 1 des Standarderprobungsgesetzes sind zuständig</w:t>
      </w:r>
    </w:p>
    <w:p>
      <w:r>
        <w:t xml:space="preserve">für die Beschränkung oder das Verbot des Kraftfahrzeugverkehrs nach § 40 Abs. 1 Satz 1 und § 40 Abs. 2 des Bundes-Immissionsschutzgesetzes,</w:t>
      </w:r>
    </w:p>
    <w:p>
      <w:r>
        <w:t xml:space="preserve">jeweils im Einvernehmen mit dem Landesamt für Arbeitsschutz, Verbraucherschutz und Gesundheit für die Zulassung von Ausnahmen von Verboten oder Beschränkungen des Kraftfahrzeugverkehrs nach § 40 Abs. 1 Satz 2 des Bundes-Immissionsschutzgesetzes,</w:t>
      </w:r>
    </w:p>
    <w:p>
      <w:r>
        <w:t xml:space="preserve">für die Erteilung des Einvernehmens für Maßnahmen der Luftreinhaltepläne oder der Pläne für kurzfristig zu ergreifende Maßnahmen im Straßenverkehr nach § 47 Abs. 4 Satz 2 des Bundes-Immissionsschutzgesetzes.</w:t>
      </w:r>
    </w:p>
    <w:p>
      <w:r>
        <w:t xml:space="preserve">(2) Die Landkreise, die kreisfreien Städte und die Großen kreisangehörigen Städte Eberswalde, Eisenhüttenstadt und Schwedt/Oder sowie die Gemeinden als Straßenverkehrsbehörde nach § 5 Abs. 1 des Standarderprobungsgesetzes nehmen die Aufgaben nach Absatz 1 als Pflichtaufgaben zur Erfüllung nach Weisung wahr. Die Aufsicht über die in Absatz 1 genannten Aufgaben führt das für Verkehr zuständige Mitglied der Landesregierung als oberste Aufsichtsbehörde.</w:t>
      </w:r>
    </w:p>
    <w:p>
      <w:r>
        <w:rPr>
          <w:color w:val="555555"/>
          <w:sz w:val="17"/>
        </w:rPr>
        <w:t xml:space="preserve">Zitiervorschlag: § 12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