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ImSchZV (Brandenburg) — Zuständigkeit der unteren Katastrophenschutzbehörden</w:t>
      </w:r>
    </w:p>
    <w:p>
      <w:r>
        <w:rPr>
          <w:color w:val="555555"/>
          <w:sz w:val="18"/>
        </w:rPr>
        <w:t xml:space="preserve">Immissionsschutzzuständigkeitsverordnung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Die Landkreise und die kreisfreien Städte als untere Katastrophenschutzbehörden sind zuständig für die Entgegennahme der für die Erstellung der externen Alarm- und Gefahrenabwehrpläne erforderlichen Informationen nach § 10 Abs. 1 Nr. 2 der Störfall-Verordnung sowie von Mehrausfertigungen nach § 10 Abs. 2 der Störfall-Verordnung (12. BImSchV). Im Genehmigungsverfahren ist neben der unteren Katastrophenschutzbehörde auch die zuständige Genehmigungsbehörde zuständig.</w:t>
      </w:r>
    </w:p>
    <w:p>
      <w:r>
        <w:t xml:space="preserve">(2) Die Landkreise und die kreisfreien Städte als untere Katastrophenschutzbehörde nehmen die Aufgaben nach Absatz 1 als Pflichtaufgabe zur Erfüllung nach Weisung wahr.</w:t>
      </w:r>
    </w:p>
    <w:p>
      <w:r>
        <w:rPr>
          <w:color w:val="555555"/>
          <w:sz w:val="17"/>
        </w:rPr>
        <w:t xml:space="preserve">Zitiervorschlag: § 10 ImSchZV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https://recht.nulegal.eu/gesetze/ImSchZV/10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