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ImGwGMeldV</w:t>
      </w:r>
    </w:p>
    <w:p>
      <w:r>
        <w:rPr>
          <w:color w:val="555555"/>
          <w:sz w:val="18"/>
        </w:rPr>
        <w:t xml:space="preserve">Geldwäschegesetzmeldepflichtverordnung-Immobilien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Auf Grund des § 43 Absatz 6 des Geldwäschegesetzes, der durch Artikel 1 Nummer 33 Buchstabe d des Gesetzes vom 12. Dezember 2019 (BGBl. I S. 2602) eingefügt worden ist, verordnet das Bundesministerium der Finanzen im Einvernehmen mit dem Bundesministerium der Justiz und für Verbraucherschutz:</w:t>
      </w:r>
    </w:p>
    <w:p>
      <w:r>
        <w:rPr>
          <w:color w:val="555555"/>
          <w:sz w:val="17"/>
        </w:rPr>
        <w:t xml:space="preserve">Zitiervorschlag: Eingangsformel ImGwGMeldV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https://recht.nulegal.eu/gesetze/ImGwGMeldV/eingangsformel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