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ImGwGMeldV — Inkrafttreten</w:t>
      </w:r>
    </w:p>
    <w:p>
      <w:r>
        <w:rPr>
          <w:color w:val="555555"/>
          <w:sz w:val="18"/>
        </w:rPr>
        <w:t xml:space="preserve">Geldwäschegesetzmeldepflichtverordnung-Immobilien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Diese Verordnung tritt am 1. Oktober 2020 in Kraft.</w:t>
      </w:r>
    </w:p>
    <w:p>
      <w:r>
        <w:rPr>
          <w:color w:val="555555"/>
          <w:sz w:val="17"/>
        </w:rPr>
        <w:t xml:space="preserve">Zitiervorschlag: § 8 ImGwGMeldV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https://recht.nulegal.eu/gesetze/ImGwGMeldV/8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