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ImGwGMeldV — Meldepflichten wegen Auffälligkeiten im Zusammenhang mit Stellvertretung</w:t>
      </w:r>
    </w:p>
    <w:p>
      <w:r>
        <w:rPr>
          <w:color w:val="555555"/>
          <w:sz w:val="18"/>
        </w:rPr>
        <w:t xml:space="preserve">Geldwäschegesetzmeldepflichtverordnung-Immobilien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Verpflichtete hat zu melden, wenn ein an dem Erwerbsvorgang Beteiligter</w:t>
      </w:r>
    </w:p>
    <w:p>
      <w:pPr>
        <w:ind w:left="420"/>
      </w:pPr>
      <w:r>
        <w:t xml:space="preserve">1. aufgrund einer Vollmacht handelt, die nicht der Schriftform genügt, und dem Verpflichteten die Vollmacht nicht innerhalb von zwei Monaten nach dessen Aufforderung schriftlich nachgewiesen wird,</w:t>
      </w:r>
    </w:p>
    <w:p>
      <w:pPr>
        <w:ind w:left="420"/>
      </w:pPr>
      <w:r>
        <w:t xml:space="preserve">2. eine Vollmachtsurkunde vorlegt, die unecht oder verfälscht ist,</w:t>
      </w:r>
    </w:p>
    <w:p>
      <w:pPr>
        <w:ind w:left="420"/>
      </w:pPr>
      <w:r>
        <w:t xml:space="preserve">3. aufgrund einer Vollmacht handelt, deren Grundverhältnis für den Verpflichteten nicht erkennbar ist, oder</w:t>
      </w:r>
    </w:p>
    <w:p>
      <w:pPr>
        <w:ind w:left="420"/>
      </w:pPr>
      <w:r>
        <w:t xml:space="preserve">4. aufgrund einer Vollmacht handelt, die durch Mitarbeiter der konsularischen Vertretung der Bundesrepublik Deutschland in einem Staat nach § 3 Absatz 1 beglaubigt wurde.</w:t>
      </w:r>
    </w:p>
    <w:p>
      <w:r>
        <w:rPr>
          <w:color w:val="555555"/>
          <w:sz w:val="17"/>
        </w:rPr>
        <w:t xml:space="preserve">Zitiervorschlag: § 5 ImGwGMeldV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https://recht.nulegal.eu/gesetze/ImGwGMeldV/5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