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ImGwGMeldV — Regelungsbereich</w:t>
      </w:r>
    </w:p>
    <w:p>
      <w:r>
        <w:rPr>
          <w:color w:val="555555"/>
          <w:sz w:val="18"/>
        </w:rPr>
        <w:t xml:space="preserve">Geldwäschegesetzmeldepflichtverordnung-Immobilien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Diese Verordnung bestimmt in den §§ 3 bis 6 Sachverhalte bei Erwerbsvorgängen nach § 1 des Grunderwerbsteuergesetzes, die von Verpflichteten nach § 2 Absatz 1 Nummer 10 und 12 des Geldwäschegesetzes stets nach § 43 Absatz 1 des Geldwäschegesetzes zu melden sind. Sie begründet für diese Verpflichteten keine eigenständigen Pflichten zur Ermittlung von Tatsachen, die eine Meldepflicht begründen können.</w:t>
      </w:r>
    </w:p>
    <w:p>
      <w:r>
        <w:rPr>
          <w:color w:val="555555"/>
          <w:sz w:val="17"/>
        </w:rPr>
        <w:t xml:space="preserve">Zitiervorschlag: § 1 ImGwGMeldV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https://recht.nulegal.eu/gesetze/ImGwGMeldV/1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