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IfSZV (Brandenburg)</w:t>
      </w:r>
    </w:p>
    <w:p>
      <w:r>
        <w:rPr>
          <w:color w:val="555555"/>
          <w:sz w:val="18"/>
        </w:rPr>
        <w:t xml:space="preserve">Infektionsschutzzuständigkeitsverordnung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erstattet den zuständigen Behörden die angemessenen und notwendigen Kosten für die Wahrnehmung der durch Nummer 1.1 der Anlage zugewiesenen Aufgaben. Der nachgewiesene zusätzliche finanzielle Aufwand nach Satz 1 wird den zuständigen Behörden nach Ablauf eines Haushaltsjahres von dem für das Gesundheitswesen zuständigen Mitglied der Landesregierung auf Antrag erstattet.</w:t>
      </w:r>
    </w:p>
    <w:p>
      <w:r>
        <w:t xml:space="preserve">Potsdam, den 27. November 2007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Die Ministerin für Arbeit,</w:t>
      </w:r>
    </w:p>
    <w:p>
      <w:r>
        <w:t xml:space="preserve">Soziales, Gesundheit und Familie</w:t>
      </w:r>
    </w:p>
    <w:p>
      <w:r>
        <w:t xml:space="preserve">Dagmar Ziegler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3 IfSZV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