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IfSZV (Brandenburg)</w:t>
      </w:r>
    </w:p>
    <w:p>
      <w:r>
        <w:rPr>
          <w:color w:val="555555"/>
          <w:sz w:val="18"/>
        </w:rPr>
        <w:t xml:space="preserve">Infektionsschutzzuständigkeitsverordnung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Ermächtigungen der Landesregierung zum Erlass von Rechtsverordnungen nach § 15 Absatz 3 Satz 1, § 17 Absatz 4 Satz 1 und Absatz 5 Satz 1, § 20 Absatz 7 Satz 1, § 23 Absatz 5 Satz 2 und Absatz 8 Satz 1, § 32 Satz 1 sowie § 41 Absatz 2 Satz 1 des Infektionsschutzgesetzes werden auf das für das Gesundheitswesen zuständige Mitglied der Landesregierung übertragen.</w:t>
      </w:r>
    </w:p>
    <w:p>
      <w:r>
        <w:rPr>
          <w:color w:val="555555"/>
          <w:sz w:val="17"/>
        </w:rPr>
        <w:t xml:space="preserve">Zitiervorschlag: § 2 IfSZV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