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IfSZV (Brandenburg)</w:t>
      </w:r>
    </w:p>
    <w:p>
      <w:r>
        <w:rPr>
          <w:color w:val="555555"/>
          <w:sz w:val="18"/>
        </w:rPr>
        <w:t xml:space="preserve">Infektionsschutzzuständigkeitsverordnung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Wahrnehmung der in der Anlage zu dieser Verordnung aufgeführten Verwaltungsaufgaben sind die dort bezeichneten Behörden sachlich zuständig.</w:t>
      </w:r>
    </w:p>
    <w:p>
      <w:r>
        <w:rPr>
          <w:color w:val="555555"/>
          <w:sz w:val="17"/>
        </w:rPr>
        <w:t xml:space="preserve">Zitiervorschlag: § 1 IfSZV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