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76 IfSG — Einziehung</w:t>
      </w:r>
    </w:p>
    <w:p>
      <w:r>
        <w:rPr>
          <w:color w:val="555555"/>
          <w:sz w:val="18"/>
        </w:rPr>
        <w:t xml:space="preserve">Infektionsschutzgesetz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Gegenstände, auf die sich eine Straftat nach § 75 Abs. 1 oder 3 bezieht, können eingezogen werden.</w:t>
      </w:r>
    </w:p>
    <w:p>
      <w:r>
        <w:rPr>
          <w:color w:val="555555"/>
          <w:sz w:val="17"/>
        </w:rPr>
        <w:t xml:space="preserve">Zitiervorschlag: § 76 IfSG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https://recht.nulegal.eu/gesetze/IfSG/76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