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IfSG — Meldepflichtige Nachweise von Krankheitserregern</w:t>
      </w:r>
    </w:p>
    <w:p>
      <w:r>
        <w:rPr>
          <w:color w:val="555555"/>
          <w:sz w:val="18"/>
        </w:rPr>
        <w:t xml:space="preserve">Infektionsschutzgesetz</w:t>
      </w:r>
    </w:p>
    <w:p>
      <w:r>
        <w:rPr>
          <w:color w:val="555555"/>
          <w:sz w:val="18"/>
        </w:rPr>
        <w:t xml:space="preserve">Stand: 04.07.2026 (konsolidierte Textfassung, kein amtliches Inkrafttretensdatum)</w:t>
      </w:r>
    </w:p>
    <w:p>
      <w:r>
        <w:t xml:space="preserve">(1) Namentlich ist bei folgenden Krankheitserregern, soweit nicht anders bestimmt, der direkte oder indirekte Nachweis zu melden, soweit die Nachweise auf eine akute Infektion hinweisen:</w:t>
      </w:r>
    </w:p>
    <w:p>
      <w:pPr>
        <w:ind w:left="420"/>
      </w:pPr>
      <w:r>
        <w:t xml:space="preserve">1. Adenoviren; Meldepflicht nur für den direkten Nachweis im Konjunktivalabstrich</w:t>
      </w:r>
    </w:p>
    <w:p>
      <w:pPr>
        <w:ind w:left="420"/>
      </w:pPr>
      <w:r>
        <w:t xml:space="preserve">2. Bacillus anthracis</w:t>
      </w:r>
    </w:p>
    <w:p>
      <w:pPr>
        <w:ind w:left="420"/>
      </w:pPr>
      <w:r>
        <w:t xml:space="preserve">3. Bordetella pertussis, Bordetella parapertussis</w:t>
      </w:r>
    </w:p>
    <w:p>
      <w:pPr>
        <w:ind w:left="420"/>
      </w:pPr>
      <w:r>
        <w:t xml:space="preserve">3a. humanpathogene Bornaviren; Meldepflicht nur für den direkten Nachweis</w:t>
      </w:r>
    </w:p>
    <w:p>
      <w:pPr>
        <w:ind w:left="420"/>
      </w:pPr>
      <w:r>
        <w:t xml:space="preserve">4. Borrelia recurrentis</w:t>
      </w:r>
    </w:p>
    <w:p>
      <w:pPr>
        <w:ind w:left="420"/>
      </w:pPr>
      <w:r>
        <w:t xml:space="preserve">5. Brucella sp.</w:t>
      </w:r>
    </w:p>
    <w:p>
      <w:pPr>
        <w:ind w:left="420"/>
      </w:pPr>
      <w:r>
        <w:t xml:space="preserve">6. Campylobacter sp., darmpathogen</w:t>
      </w:r>
    </w:p>
    <w:p>
      <w:pPr>
        <w:ind w:left="420"/>
      </w:pPr>
      <w:r>
        <w:t xml:space="preserve">6a. Candidozyma auris; Meldepflicht nur für den direkten Nachweis bei Infektion oder Kolonisation</w:t>
      </w:r>
    </w:p>
    <w:p>
      <w:pPr>
        <w:ind w:left="420"/>
      </w:pPr>
      <w:r>
        <w:t xml:space="preserve">6b. Chikungunya-Virus</w:t>
      </w:r>
    </w:p>
    <w:p>
      <w:pPr>
        <w:ind w:left="420"/>
      </w:pPr>
      <w:r>
        <w:t xml:space="preserve">7. Chlamydia psittaci</w:t>
      </w:r>
    </w:p>
    <w:p>
      <w:pPr>
        <w:ind w:left="420"/>
      </w:pPr>
      <w:r>
        <w:t xml:space="preserve">8. Clostridium botulinum oder Toxinnachweis</w:t>
      </w:r>
    </w:p>
    <w:p>
      <w:pPr>
        <w:ind w:left="420"/>
      </w:pPr>
      <w:r>
        <w:t xml:space="preserve">9. Corynebacterium spp., Toxin bildend</w:t>
      </w:r>
    </w:p>
    <w:p>
      <w:pPr>
        <w:ind w:left="420"/>
      </w:pPr>
      <w:r>
        <w:t xml:space="preserve">10. Coxiella burnetii</w:t>
      </w:r>
    </w:p>
    <w:p>
      <w:pPr>
        <w:ind w:left="420"/>
      </w:pPr>
      <w:r>
        <w:t xml:space="preserve">10a. Dengue-Virus</w:t>
      </w:r>
    </w:p>
    <w:p>
      <w:pPr>
        <w:ind w:left="420"/>
      </w:pPr>
      <w:r>
        <w:t xml:space="preserve">11. humanpathogene Cryptosporidium sp.</w:t>
      </w:r>
    </w:p>
    <w:p>
      <w:pPr>
        <w:ind w:left="420"/>
      </w:pPr>
      <w:r>
        <w:t xml:space="preserve">12. Ebolavirus</w:t>
      </w:r>
    </w:p>
    <w:p>
      <w:pPr>
        <w:ind w:left="780"/>
      </w:pPr>
      <w:r>
        <w:t xml:space="preserve">a) Escherichia coli, enterohämorrhagische Stämme (EHEC)</w:t>
      </w:r>
    </w:p>
    <w:p>
      <w:pPr>
        <w:ind w:left="780"/>
      </w:pPr>
      <w:r>
        <w:t xml:space="preserve">b) Escherichia coli, sonstige darmpathogene Stämme</w:t>
      </w:r>
    </w:p>
    <w:p>
      <w:pPr>
        <w:ind w:left="420"/>
      </w:pPr>
      <w:r>
        <w:t xml:space="preserve">14. Francisella tularensis</w:t>
      </w:r>
    </w:p>
    <w:p>
      <w:pPr>
        <w:ind w:left="420"/>
      </w:pPr>
      <w:r>
        <w:t xml:space="preserve">15. FSME-Virus</w:t>
      </w:r>
    </w:p>
    <w:p>
      <w:pPr>
        <w:ind w:left="420"/>
      </w:pPr>
      <w:r>
        <w:t xml:space="preserve">16. Gelbfiebervirus</w:t>
      </w:r>
    </w:p>
    <w:p>
      <w:pPr>
        <w:ind w:left="420"/>
      </w:pPr>
      <w:r>
        <w:t xml:space="preserve">17. Giardia lamblia</w:t>
      </w:r>
    </w:p>
    <w:p>
      <w:pPr>
        <w:ind w:left="420"/>
      </w:pPr>
      <w:r>
        <w:t xml:space="preserve">18. Haemophilus influenzae; Meldepflicht nur für den direkten Nachweis aus Liquor oder Blut</w:t>
      </w:r>
    </w:p>
    <w:p>
      <w:pPr>
        <w:ind w:left="420"/>
      </w:pPr>
      <w:r>
        <w:t xml:space="preserve">19. Hantaviren</w:t>
      </w:r>
    </w:p>
    <w:p>
      <w:pPr>
        <w:ind w:left="420"/>
      </w:pPr>
      <w:r>
        <w:t xml:space="preserve">20. Hepatitis-A-Virus</w:t>
      </w:r>
    </w:p>
    <w:p>
      <w:pPr>
        <w:ind w:left="420"/>
      </w:pPr>
      <w:r>
        <w:t xml:space="preserve">21. Hepatitis-B-Virus; Meldepflicht für alle Nachweise</w:t>
      </w:r>
    </w:p>
    <w:p>
      <w:pPr>
        <w:ind w:left="420"/>
      </w:pPr>
      <w:r>
        <w:t xml:space="preserve">22. Hepatitis-C-Virus; Meldepflicht für alle Nachweise</w:t>
      </w:r>
    </w:p>
    <w:p>
      <w:pPr>
        <w:ind w:left="420"/>
      </w:pPr>
      <w:r>
        <w:t xml:space="preserve">23. Hepatitis-D-Virus; Meldepflicht für alle Nachweise</w:t>
      </w:r>
    </w:p>
    <w:p>
      <w:pPr>
        <w:ind w:left="420"/>
      </w:pPr>
      <w:r>
        <w:t xml:space="preserve">24. Hepatitis-E-Virus</w:t>
      </w:r>
    </w:p>
    <w:p>
      <w:pPr>
        <w:ind w:left="420"/>
      </w:pPr>
      <w:r>
        <w:t xml:space="preserve">25. Influenzaviren; Meldepflicht nur für den direkten Nachweis</w:t>
      </w:r>
    </w:p>
    <w:p>
      <w:pPr>
        <w:ind w:left="420"/>
      </w:pPr>
      <w:r>
        <w:t xml:space="preserve">26. Lassavirus</w:t>
      </w:r>
    </w:p>
    <w:p>
      <w:pPr>
        <w:ind w:left="420"/>
      </w:pPr>
      <w:r>
        <w:t xml:space="preserve">27. Legionella sp.</w:t>
      </w:r>
    </w:p>
    <w:p>
      <w:pPr>
        <w:ind w:left="420"/>
      </w:pPr>
      <w:r>
        <w:t xml:space="preserve">28. humanpathogene Leptospira sp.</w:t>
      </w:r>
    </w:p>
    <w:p>
      <w:pPr>
        <w:ind w:left="420"/>
      </w:pPr>
      <w:r>
        <w:t xml:space="preserve">29. Listeria monocytogenes; Meldepflicht nur für den direkten Nachweis aus Blut, Liquor oder anderen normalerweise sterilen Substraten sowie aus Abstrichen von Neugeborenen</w:t>
      </w:r>
    </w:p>
    <w:p>
      <w:pPr>
        <w:ind w:left="420"/>
      </w:pPr>
      <w:r>
        <w:t xml:space="preserve">30. Marburgvirus</w:t>
      </w:r>
    </w:p>
    <w:p>
      <w:pPr>
        <w:ind w:left="420"/>
      </w:pPr>
      <w:r>
        <w:t xml:space="preserve">31. Masernvirus</w:t>
      </w:r>
    </w:p>
    <w:p>
      <w:pPr>
        <w:ind w:left="420"/>
      </w:pPr>
      <w:r>
        <w:t xml:space="preserve">31a. Middle-East-Respiratory-Syndrome-Coronavirus (MERS-CoV)</w:t>
      </w:r>
    </w:p>
    <w:p>
      <w:pPr>
        <w:ind w:left="420"/>
      </w:pPr>
      <w:r>
        <w:t xml:space="preserve">32. Mumpsvirus</w:t>
      </w:r>
    </w:p>
    <w:p>
      <w:pPr>
        <w:ind w:left="420"/>
      </w:pPr>
      <w:r>
        <w:t xml:space="preserve">33. Mycobacterium leprae</w:t>
      </w:r>
    </w:p>
    <w:p>
      <w:pPr>
        <w:ind w:left="420"/>
      </w:pPr>
      <w:r>
        <w:t xml:space="preserve">34. Mycobacterium tuberculosis/africanum, Mycobacterium bovis; Meldepflicht für den direkten Erregernachweis sowie nachfolgend für das Ergebnis der Resistenzbestimmung; vorab auch für den Nachweis säurefester Stäbchen im Sputum</w:t>
      </w:r>
    </w:p>
    <w:p>
      <w:pPr>
        <w:ind w:left="420"/>
      </w:pPr>
      <w:r>
        <w:t xml:space="preserve">35. Neisseria meningitidis; Meldepflicht nur für den direkten Nachweis aus Liquor, Blut, hämorrhagischen Hautinfiltraten oder anderen normalerweise sterilen Substraten</w:t>
      </w:r>
    </w:p>
    <w:p>
      <w:pPr>
        <w:ind w:left="420"/>
      </w:pPr>
      <w:r>
        <w:t xml:space="preserve">36. Norovirus</w:t>
      </w:r>
    </w:p>
    <w:p>
      <w:pPr>
        <w:ind w:left="420"/>
      </w:pPr>
      <w:r>
        <w:t xml:space="preserve">36a. Orthopockenviren</w:t>
      </w:r>
    </w:p>
    <w:p>
      <w:pPr>
        <w:ind w:left="420"/>
      </w:pPr>
      <w:r>
        <w:t xml:space="preserve">36b. Plasmodium spp.</w:t>
      </w:r>
    </w:p>
    <w:p>
      <w:pPr>
        <w:ind w:left="420"/>
      </w:pPr>
      <w:r>
        <w:t xml:space="preserve">37. Poliovirus</w:t>
      </w:r>
    </w:p>
    <w:p>
      <w:pPr>
        <w:ind w:left="420"/>
      </w:pPr>
      <w:r>
        <w:t xml:space="preserve">38. Rabiesvirus</w:t>
      </w:r>
    </w:p>
    <w:p>
      <w:pPr>
        <w:ind w:left="420"/>
      </w:pPr>
      <w:r>
        <w:t xml:space="preserve">38a. Respiratorische Synzytial Viren</w:t>
      </w:r>
    </w:p>
    <w:p>
      <w:pPr>
        <w:ind w:left="420"/>
      </w:pPr>
      <w:r>
        <w:t xml:space="preserve">39. Rickettsia prowazekii</w:t>
      </w:r>
    </w:p>
    <w:p>
      <w:pPr>
        <w:ind w:left="420"/>
      </w:pPr>
      <w:r>
        <w:t xml:space="preserve">40. Rotavirus</w:t>
      </w:r>
    </w:p>
    <w:p>
      <w:pPr>
        <w:ind w:left="420"/>
      </w:pPr>
      <w:r>
        <w:t xml:space="preserve">41. Rubellavirus</w:t>
      </w:r>
    </w:p>
    <w:p>
      <w:pPr>
        <w:ind w:left="420"/>
      </w:pPr>
      <w:r>
        <w:t xml:space="preserve">42. Salmonella Paratyphi; Meldepflicht für alle direkten Nachweise</w:t>
      </w:r>
    </w:p>
    <w:p>
      <w:pPr>
        <w:ind w:left="420"/>
      </w:pPr>
      <w:r>
        <w:t xml:space="preserve">43. Salmonella Typhi; Meldepflicht für alle direkten Nachweise</w:t>
      </w:r>
    </w:p>
    <w:p>
      <w:pPr>
        <w:ind w:left="420"/>
      </w:pPr>
      <w:r>
        <w:t xml:space="preserve">44. Salmonella, sonstige</w:t>
      </w:r>
    </w:p>
    <w:p>
      <w:pPr>
        <w:ind w:left="420"/>
      </w:pPr>
      <w:r>
        <w:t xml:space="preserve">44a. Severe-Acute-Respiratory-Syndrome-Coronavirus (SARS-CoV) und Severe-Acute-Respiratory-Syndrome-Coronavirus-2 (SARS-CoV-2)</w:t>
      </w:r>
    </w:p>
    <w:p>
      <w:pPr>
        <w:ind w:left="420"/>
      </w:pPr>
      <w:r>
        <w:t xml:space="preserve">45. Shigella sp.</w:t>
      </w:r>
    </w:p>
    <w:p>
      <w:pPr>
        <w:ind w:left="420"/>
      </w:pPr>
      <w:r>
        <w:t xml:space="preserve">45a. Streptococcus pneumoniae; Meldepflicht nur für den direkten Nachweis aus Liquor, Blut, Gelenkpunktat oder anderen normalerweise sterilen Substraten</w:t>
      </w:r>
    </w:p>
    <w:p>
      <w:pPr>
        <w:ind w:left="420"/>
      </w:pPr>
      <w:r>
        <w:t xml:space="preserve">46. Trichinella spiralis</w:t>
      </w:r>
    </w:p>
    <w:p>
      <w:pPr>
        <w:ind w:left="420"/>
      </w:pPr>
      <w:r>
        <w:t xml:space="preserve">47. Varizella-Zoster-Virus</w:t>
      </w:r>
    </w:p>
    <w:p>
      <w:pPr>
        <w:ind w:left="420"/>
      </w:pPr>
      <w:r>
        <w:t xml:space="preserve">48. Vibrio spp., humanpathogen; soweit ausschließlich eine Ohrinfektion vorliegt, nur bei Vibrio cholerae</w:t>
      </w:r>
    </w:p>
    <w:p>
      <w:pPr>
        <w:ind w:left="420"/>
      </w:pPr>
      <w:r>
        <w:t xml:space="preserve">48a. West-Nil-Virus</w:t>
      </w:r>
    </w:p>
    <w:p>
      <w:pPr>
        <w:ind w:left="420"/>
      </w:pPr>
      <w:r>
        <w:t xml:space="preserve">49. Yersinia pestis</w:t>
      </w:r>
    </w:p>
    <w:p>
      <w:pPr>
        <w:ind w:left="420"/>
      </w:pPr>
      <w:r>
        <w:t xml:space="preserve">50. Yersinia spp., darmpathogen</w:t>
      </w:r>
    </w:p>
    <w:p>
      <w:pPr>
        <w:ind w:left="420"/>
      </w:pPr>
      <w:r>
        <w:t xml:space="preserve">50a. Zika-Virus und sonstige Arboviren</w:t>
      </w:r>
    </w:p>
    <w:p>
      <w:pPr>
        <w:ind w:left="420"/>
      </w:pPr>
      <w:r>
        <w:t xml:space="preserve">51. andere Erreger hämorrhagischer Fieber</w:t>
      </w:r>
    </w:p>
    <w:p>
      <w:pPr>
        <w:ind w:left="420"/>
      </w:pPr>
      <w:r>
        <w:t xml:space="preserve">52. der direkte Nachweis folgender Krankheitserreger:</w:t>
      </w:r>
    </w:p>
    <w:p>
      <w:pPr>
        <w:ind w:left="780"/>
      </w:pPr>
      <w:r>
        <w:t xml:space="preserve">a) Staphylococcus aureus, Methicillin-resistente Stämme; Meldepflicht nur für den Nachweis aus Blut oder Liquor</w:t>
      </w:r>
    </w:p>
    <w:p>
      <w:pPr>
        <w:ind w:left="780"/>
      </w:pPr>
      <w:r>
        <w:t xml:space="preserve">b) Enterobacterales bei Nachweis einer Carbapenemase-Determinante oder mit Resistenz gegenüber Meropenem; Meldepflicht nur bei Infektion oder Kolonisation</w:t>
      </w:r>
    </w:p>
    <w:p>
      <w:pPr>
        <w:ind w:left="780"/>
      </w:pPr>
      <w:r>
        <w:t xml:space="preserve">c) Acinetobacter spp. bei Nachweis einer Carbapenemase-Determinante oder mit Resistenz gegenüber Meropenem; Meldepflicht nur bei Infektion oder Kolonisation.</w:t>
      </w:r>
    </w:p>
    <w:p>
      <w:r>
        <w:t xml:space="preserve">Die Meldung nach Satz 1 hat gemäß § 8 Absatz 1 Nummer 2, 3, 4 oder Absatz 4, § 9 Absatz 1, 2, 3 Satz 1 oder 3 zu erfolgen.</w:t>
      </w:r>
    </w:p>
    <w:p>
      <w:r>
        <w:t xml:space="preserve">(2) Namentlich sind in Bezug auf Infektionen und Kolonisationen Nachweise von in dieser Vorschrift nicht genannten Krankheitserregern zu melden, wenn unter Berücksichtigung der Art der Krankheitserreger und der Häufigkeit ihres Nachweises Hinweise auf eine schwerwiegende Gefahr für die Allgemeinheit bestehen. Die Meldung nach Satz 1 hat gemäß § 8 Absatz 1 Nummer 2, 3 oder Absatz 4, § 9 Absatz 2, 3 Satz 1 oder 3 zu erfolgen.</w:t>
      </w:r>
    </w:p>
    <w:p>
      <w:r>
        <w:t xml:space="preserve">(3) Nichtnamentlich ist bei folgenden Krankheitserregern der direkte oder indirekte Nachweis zu melden:</w:t>
      </w:r>
    </w:p>
    <w:p>
      <w:pPr>
        <w:ind w:left="420"/>
      </w:pPr>
      <w:r>
        <w:t xml:space="preserve">1. Treponema pallidum</w:t>
      </w:r>
    </w:p>
    <w:p>
      <w:pPr>
        <w:ind w:left="420"/>
      </w:pPr>
      <w:r>
        <w:t xml:space="preserve">2. HIV</w:t>
      </w:r>
    </w:p>
    <w:p>
      <w:pPr>
        <w:ind w:left="420"/>
      </w:pPr>
      <w:r>
        <w:t xml:space="preserve">3. Echinococcus sp.</w:t>
      </w:r>
    </w:p>
    <w:p>
      <w:pPr>
        <w:ind w:left="420"/>
      </w:pPr>
      <w:r>
        <w:t xml:space="preserve">4. Toxoplasma gondii; Meldepflicht nur bei konnatalen Infektionen</w:t>
      </w:r>
    </w:p>
    <w:p>
      <w:pPr>
        <w:ind w:left="420"/>
      </w:pPr>
      <w:r>
        <w:t xml:space="preserve">5. Neisseria gonorrhoeae,</w:t>
      </w:r>
    </w:p>
    <w:p>
      <w:pPr>
        <w:ind w:left="420"/>
      </w:pPr>
      <w:r>
        <w:t xml:space="preserve">6. Chlamydia trachomatis, sofern es sich um einen der Serotypen L1 bis L3 handelt.</w:t>
      </w:r>
    </w:p>
    <w:p>
      <w:r>
        <w:t xml:space="preserve">Die Meldung nach Satz 1 hat gemäß § 8 Absatz 1 Nummer 2, 3 oder Absatz 4, § 10 Absatz 2 zu erfolgen.</w:t>
      </w:r>
    </w:p>
    <w:p>
      <w:r>
        <w:t xml:space="preserve">(4) Bei Untersuchungen zum direkten Nachweis des Severe-Acute-Respiratory-Syndrome-Coronavirus-2 (SARS-CoV-2) mittels Nukleinsäureamplifikationstechnik ist das Untersuchungsergebnis nichtnamentlich zu melden. Die Meldung nach Satz 1 hat gemäß § 8 Absatz 1 Nummer 2, 3 oder Absatz 4, § 10 Absatz 3 zu erfolgen.</w:t>
      </w:r>
    </w:p>
    <w:p>
      <w:r>
        <w:rPr>
          <w:color w:val="555555"/>
          <w:sz w:val="17"/>
        </w:rPr>
        <w:t xml:space="preserve">Zitiervorschlag: § 7 IfSG</w:t>
      </w:r>
    </w:p>
    <w:p>
      <w:r>
        <w:rPr>
          <w:color w:val="555555"/>
          <w:sz w:val="17"/>
        </w:rPr>
        <w:t xml:space="preserve">Quelle: Bundesamt für Justiz, abgerufen 04.07.2026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