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IfSG — Kosten</w:t>
      </w:r>
    </w:p>
    <w:p>
      <w:r>
        <w:rPr>
          <w:color w:val="555555"/>
          <w:sz w:val="18"/>
        </w:rPr>
        <w:t xml:space="preserve">Infektionsschutzgesetz</w:t>
      </w:r>
    </w:p>
    <w:p>
      <w:r>
        <w:rPr>
          <w:color w:val="555555"/>
          <w:sz w:val="18"/>
        </w:rPr>
        <w:t xml:space="preserve">Stand: 20.09.2022 (konsolidierte Textfassung, kein amtliches Inkrafttretensdatum)</w:t>
      </w:r>
    </w:p>
    <w:p>
      <w:r>
        <w:t xml:space="preserve">(1) Folgende Kosten sind aus öffentlichen Mitteln zu bestreiten, soweit nicht ein anderer Kostenträger zur Kostentragung verpflichtet ist:</w:t>
      </w:r>
    </w:p>
    <w:p>
      <w:pPr>
        <w:ind w:left="420"/>
      </w:pPr>
      <w:r>
        <w:t xml:space="preserve">1. Kosten für die Übermittlung der Meldungen nach den §§ 6 und 7,</w:t>
      </w:r>
    </w:p>
    <w:p>
      <w:pPr>
        <w:ind w:left="420"/>
      </w:pPr>
      <w:r>
        <w:t xml:space="preserve">2. Kosten für die Durchführung der Erhebungen nach § 13 Absatz 2,</w:t>
      </w:r>
    </w:p>
    <w:p>
      <w:pPr>
        <w:ind w:left="420"/>
      </w:pPr>
      <w:r>
        <w:t xml:space="preserve">3. Kosten für die Ablieferung von Untersuchungsmaterial an bestimmte Einrichtungen der Spezialdiagnostik nach § 13 Absatz 3 Satz 1,</w:t>
      </w:r>
    </w:p>
    <w:p>
      <w:pPr>
        <w:ind w:left="420"/>
      </w:pPr>
      <w:r>
        <w:t xml:space="preserve">4. Kosten für Maßnahmen nach § 17 Absatz 1, auch in Verbindung mit Absatz 3, soweit sie von der zuständigen Behörde angeordnet worden sind und die Notwendigkeit der Maßnahmen nicht vorsätzlich herbeigeführt wurde,</w:t>
      </w:r>
    </w:p>
    <w:p>
      <w:pPr>
        <w:ind w:left="420"/>
      </w:pPr>
      <w:r>
        <w:t xml:space="preserve">5. Kosten für Maßnahmen nach § 19,</w:t>
      </w:r>
    </w:p>
    <w:p>
      <w:pPr>
        <w:ind w:left="420"/>
      </w:pPr>
      <w:r>
        <w:t xml:space="preserve">6. Kosten für Schutzimpfungen oder andere Maßnahmen der spezifischen Prophylaxe gegen bestimmte übertragbare Krankheiten nach § 20 Absatz 5,</w:t>
      </w:r>
    </w:p>
    <w:p>
      <w:pPr>
        <w:ind w:left="420"/>
      </w:pPr>
      <w:r>
        <w:t xml:space="preserve">7. Kosten für die Durchführung von Ermittlungen nach § 25,</w:t>
      </w:r>
    </w:p>
    <w:p>
      <w:pPr>
        <w:ind w:left="420"/>
      </w:pPr>
      <w:r>
        <w:t xml:space="preserve">8. Kosten für die Durchführung von Schutzmaßnahmen nach den §§ 29 und 30,</w:t>
      </w:r>
    </w:p>
    <w:p>
      <w:pPr>
        <w:ind w:left="420"/>
      </w:pPr>
      <w:r>
        <w:t xml:space="preserve">9. Kosten für ärztliche Untersuchungen nach § 20 Absatz 12 Satz 2, § 20a Absatz 5 Satz 2, § 36 Absatz 5 Satz 1 und 3, Absatz 6 Satz 2, Absatz 7 Satz 2 und Absatz 10 Satz 2.</w:t>
      </w:r>
    </w:p>
    <w:p>
      <w:r>
        <w:t xml:space="preserve">In einer Rechtsverordnung nach § 13 Absatz 2 Satz 7 kann im Einvernehmen mit dem Bundesministerium der Finanzen vorgesehen werden, dass der Bund sich im Hinblick auf die Durchführung der Erhebung durch das Robert Koch-Institut anteilig an der Kostentragung beteiligt. Soweit ein anderer Kostenträger zur Kostentragung verpflichtet ist oder solange dies noch nicht feststeht, können die entsprechenden Kosten vorläufig aus öffentlichen Mitteln bestritten werden. Der andere Kostenträger ist zur Erstattung der Kosten verpflichtet.</w:t>
      </w:r>
    </w:p>
    <w:p>
      <w:r>
        <w:t xml:space="preserve">(2) Wer die öffentlichen Mittel aufzubringen hat, bleibt, soweit nicht bundesgesetzlich geregelt, der Regelung durch die Länder vorbehalten.</w:t>
      </w:r>
    </w:p>
    <w:p>
      <w:r>
        <w:t xml:space="preserve">(3) Für aus öffentlichen Mitteln zu bestreitende Kosten der Quarantänemaßnahmen nach § 30 ist der Kostenträger zuständig, in dessen Bezirk die von der Maßnahme betroffene Person zum Zeitpunkt der Anordnung der Maßnahme ihren gewöhnlichen Aufenthalt hat oder zuletzt hatte. Falls ein gewöhnlicher Aufenthaltsort nicht feststellbar ist, werden die Kosten vorläufig von dem Kostenträger übernommen, in dessen Bezirk die Maßnahme angeordnet wird. Der zuständige Kostenträger ist im Fall des Satzes 2 zur Erstattung verpflichtet. Satz 1 gilt nicht, soweit die Länder abweichende Vereinbarungen treffen.</w:t>
      </w:r>
    </w:p>
    <w:p>
      <w:r>
        <w:rPr>
          <w:color w:val="555555"/>
          <w:sz w:val="17"/>
        </w:rPr>
        <w:t xml:space="preserve">Zitiervorschlag: § 69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