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IfSG — Rechtsweg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Für Streitigkeiten über Ansprüche nach den §§ 56 bis 58 und 65 gegen das nach § 66 Absatz 1 zur Zahlung verpflichtete Land ist der Verwaltungsrechtsweg gegeben. Der Verwaltungsrechtsweg ist auch gegeben, soweit andere Ansprüche wegen Entschädigung für Maßnahmen aufgrund dieses Gesetzes geltend gemacht werden. Artikel 14 Absatz 3 Satz 4 und Artikel 34 Satz 3 des Grundgesetzes bleiben unberührt.</w:t>
      </w:r>
    </w:p>
    <w:p>
      <w:r>
        <w:t xml:space="preserve">(1a) Für Streitigkeiten über Ansprüche nach einer auf Grund des § 20i Absatz 3 Satz 2 Nummer 1 Buchstabe a, auch in Verbindung mit Nummer 2, des Fünften Buches Sozialgesetzbuch sowie des § 5 Absatz 2 Satz 1 Nummer 4 Buchstabe c und f erlassenen Rechtsverordnung ist der Verwaltungsrechtsweg gegeben.</w:t>
      </w:r>
    </w:p>
    <w:p>
      <w:r>
        <w:t xml:space="preserve">(2) (weggefallen)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68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