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65 IfSG — Entschädigung bei behördlichen Maßnahmen</w:t>
      </w:r>
    </w:p>
    <w:p>
      <w:r>
        <w:rPr>
          <w:color w:val="555555"/>
          <w:sz w:val="18"/>
        </w:rPr>
        <w:t xml:space="preserve">Infektionsschutzgesetz</w:t>
      </w:r>
    </w:p>
    <w:p>
      <w:r>
        <w:rPr>
          <w:color w:val="555555"/>
          <w:sz w:val="18"/>
        </w:rPr>
        <w:t xml:space="preserve">Stand: 10.06.2019 (konsolidierte Textfassung, kein amtliches Inkrafttretensdatum)</w:t>
      </w:r>
    </w:p>
    <w:p>
      <w:r>
        <w:t xml:space="preserve">(1) Soweit auf Grund einer Maßnahme nach den §§ 16 und 17 Gegenstände vernichtet, beschädigt oder in sonstiger Weise in ihrem Wert gemindert werden oder ein anderer nicht nur unwesentlicher Vermögensnachteil verursacht wird, ist eine Entschädigung in Geld zu leisten; eine Entschädigung erhält jedoch nicht derjenige, dessen Gegenstände mit Krankheitserregern oder mit Gesundheitsschädlingen als vermutlichen Überträgern solcher Krankheitserreger behaftet oder dessen verdächtig sind. § 254 des Bürgerlichen Gesetzbuchs ist entsprechend anzuwenden.</w:t>
      </w:r>
    </w:p>
    <w:p>
      <w:r>
        <w:t xml:space="preserve">(2) Die Höhe der Entschädigung nach Absatz 1 bemisst sich im Falle der Vernichtung eines Gegenstandes nach dessen gemeinem Wert, im Falle der Beschädigung oder sonstigen Wertminderung nach der Minderung des gemeinen Wertes. Kann die Wertminderung behoben werden, so bemisst sich die Entschädigung nach den hierfür erforderlichen Aufwendungen. Die Entschädigung darf den gemeinen Wert nicht übersteigen, den der Gegenstand ohne die Beschädigung oder Wertminderung gehabt hätte. Bei Bestimmung des gemeinen Wertes sind der Zustand und alle sonstigen den Wert des Gegenstandes bestimmenden Umstände in dem Zeitpunkt maßgeblich, in dem die Maßnahme getroffen wurde. Die Entschädigung für andere nicht nur unwesentliche Vermögensnachteile darf den Betroffenen nicht besser stellen, als er ohne die Maßnahme gestellt sein würde. Auf Grund der Maßnahme notwendige Aufwendungen sind zu erstatten.</w:t>
      </w:r>
    </w:p>
    <w:p>
      <w:r>
        <w:rPr>
          <w:color w:val="555555"/>
          <w:sz w:val="17"/>
        </w:rPr>
        <w:t xml:space="preserve">Zitiervorschlag: § 65 IfSG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https://recht.nulegal.eu/gesetze/IfSG/65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