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IfSG — Konkurrenz von Ansprüchen, Anwendung der Vorschriften nach dem Bundesversorgungsgesetz, Übergangsregelungen zum Erstattungsverfahren an die Krankenkassen</w:t>
      </w:r>
    </w:p>
    <w:p>
      <w:r>
        <w:rPr>
          <w:color w:val="555555"/>
          <w:sz w:val="18"/>
        </w:rPr>
        <w:t xml:space="preserve">Infektionsschutzgesetz</w:t>
      </w:r>
    </w:p>
    <w:p>
      <w:r>
        <w:rPr>
          <w:color w:val="555555"/>
          <w:sz w:val="18"/>
        </w:rPr>
        <w:t xml:space="preserve">Außer Kraft: § 63 ist seit 01.01.2024 nicht mehr im IfSG enthalten. Angezeigt wird die letzte bekannte Fassung, Stand 10.06.2019.</w:t>
      </w:r>
    </w:p>
    <w:p>
      <w:r>
        <w:t xml:space="preserve">(1) Treffen Ansprüche aus § 60 mit Ansprüchen aus § 1 des Bundesversorgungsgesetzes oder aus anderen Gesetzen zusammen, die eine entsprechende Anwendung des Bundesversorgungsgesetzes vorsehen, ist unter Berücksichtigung des durch die gesamten Schädigungsfolgen bedingten Grades der Schädigungsfolgen eine einheitliche Rente festzusetzen.</w:t>
      </w:r>
    </w:p>
    <w:p>
      <w:r>
        <w:t xml:space="preserve">(2) Trifft ein Versorgungsanspruch nach § 60 mit einem Schadensersatzanspruch auf Grund fahrlässiger Amtspflichtverletzung zusammen, so wird der Anspruch nach § 839 Abs. 1 des Bürgerlichen Gesetzbuchs nicht dadurch ausgeschlossen, dass die Voraussetzungen des § 60 vorliegen.</w:t>
      </w:r>
    </w:p>
    <w:p>
      <w:r>
        <w:t xml:space="preserve">(3) Bei Impfschäden gilt § 4 Abs. 1 Nr. 2 des Siebten Buches Sozialgesetzbuch nicht.</w:t>
      </w:r>
    </w:p>
    <w:p>
      <w:r>
        <w:t xml:space="preserve">(4) § 81a des Bundesversorgungsgesetzes findet mit der Maßgabe Anwendung, dass der gegen Dritte bestehende gesetzliche Schadensersatzanspruch auf das zur Gewährung der Leistungen nach diesem Gesetz verpflichtete Land übergeht.</w:t>
      </w:r>
    </w:p>
    <w:p>
      <w:r>
        <w:t xml:space="preserve">(5) Die §§ 64 bis 64d, 64f und 89 des Bundesversorgungsgesetzes sind entsprechend anzuwenden mit der Maßgabe, dass an die Stelle der Zustimmung des Bundesministeriums für Arbeit und Soziales die Zustimmung der für die Kriegsopferversorgung zuständigen obersten Landesbehörde tritt. Die Zustimmung ist bei entsprechender Anwendung des § 89 Abs. 2 des Bundesversorgungsgesetzes im Einvernehmen mit der obersten Landesgesundheitsbehörde zu erteilen.</w:t>
      </w:r>
    </w:p>
    <w:p>
      <w:r>
        <w:t xml:space="preserve">(6) § 20 des Bundesversorgungsgesetzes ist mit den Maßgaben anzuwenden, dass an die Stelle der in Absatz 1 Satz 3 genannten Zahl die Zahl der rentenberechtigten Beschädigten und Hinterbliebenen nach diesem Gesetz im Vergleich zur Zahl des Vorjahres tritt, dass in Absatz 1 Satz 4 an die Stelle der dort genannten Ausgaben der Krankenkassen je Mitglied und Rentner einschließlich Familienangehörige die bundesweiten Ausgaben je Mitglied treten, dass Absatz 2 Satz 1 für die oberste Landesbehörde, die für die Kriegsopferversorgung zuständig ist, oder für die von ihr bestimmte Stelle gilt und dass in Absatz 3 an die Stelle der in Satz 1 genannten Zahl die Zahl 1,3 tritt und die Sätze 2 bis 4 nicht gelten.</w:t>
      </w:r>
    </w:p>
    <w:p>
      <w:r>
        <w:t xml:space="preserve">(7) Am 1. Januar 1998 noch nicht gezahlte Erstattungen von Aufwendungen für Leistungen, die von den Krankenkassen vor dem 1. Januar 1998 erbracht worden sind, werden nach den bis dahin geltenden Erstattungsregelungen abgerechnet.</w:t>
      </w:r>
    </w:p>
    <w:p>
      <w:r>
        <w:t xml:space="preserve">(8) Für das Jahr 1998 wird der Pauschalbetrag nach § 20 des Bundesversorgungsgesetzes wie folgt ermittelt: Aus der Summe der Erstattungen des Landes an die Krankenkassen nach diesem Gesetz in den Jahren 1995 bis 1997, abzüglich der Erstattungen für Leistungen bei Pflegebedürftigkeit nach § 11 Abs. 4 und § 12 Abs. 5 des Bundesversorgungsgesetzes in der bis zum 31. März 1995 geltenden Fassung und abzüglich der Erstattungen nach § 19 Abs. 4 des Bundesversorgungsgesetzes in der bis zum 31. Dezember 1993 geltenden Fassung, wird der Jahresdurchschnitt ermittelt.</w:t>
      </w:r>
    </w:p>
    <w:p>
      <w:r>
        <w:rPr>
          <w:color w:val="555555"/>
          <w:sz w:val="17"/>
        </w:rPr>
        <w:t xml:space="preserve">Zitiervorschlag: § 63 IfSG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