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IfSG — Gesundheitsschadensanerkennung</w:t>
      </w:r>
    </w:p>
    <w:p>
      <w:r>
        <w:rPr>
          <w:color w:val="555555"/>
          <w:sz w:val="18"/>
        </w:rPr>
        <w:t xml:space="preserve">Infektionsschutzgesetz</w:t>
      </w:r>
    </w:p>
    <w:p>
      <w:r>
        <w:rPr>
          <w:color w:val="555555"/>
          <w:sz w:val="18"/>
        </w:rPr>
        <w:t xml:space="preserve">Außer Kraft: § 61 ist seit 01.01.2024 nicht mehr im IfSG enthalten. Angezeigt wird die letzte bekannte Fassung, Stand 10.06.2019.</w:t>
      </w:r>
    </w:p>
    <w:p>
      <w:r>
        <w:t xml:space="preserve">Zur Anerkennung eines Gesundheitsschadens als Folge einer Schädigung im Sinne des § 60 Abs. 1 Satz 1 genügt die Wahrscheinlichkeit des ursächlichen Zusammenhangs. Wenn diese Wahrscheinlichkeit nur deshalb nicht gegeben ist, weil über die Ursache des festgestellten Leidens in der medizinischen Wissenschaft Ungewissheit besteht, kann mit Zustimmung der für die Kriegsopferversorgung zuständigen obersten Landesbehörde der Gesundheitsschaden als Folge einer Schädigung im Sinne des § 60 Abs. 1 Satz 1 anerkannt werden. Die Zustimmung kann allgemein erteilt werden.</w:t>
      </w:r>
    </w:p>
    <w:p>
      <w:r>
        <w:rPr>
          <w:color w:val="555555"/>
          <w:sz w:val="17"/>
        </w:rPr>
        <w:t xml:space="preserve">Zitiervorschlag: § 61 IfSG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