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IfSG — Meldepflichtige Krankheiten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04.07.2026 (konsolidierte Textfassung, kein amtliches Inkrafttretensdatum)</w:t>
      </w:r>
    </w:p>
    <w:p>
      <w:r>
        <w:t xml:space="preserve">(1) Namentlich ist zu melden:</w:t>
      </w:r>
    </w:p>
    <w:p>
      <w:pPr>
        <w:ind w:left="420"/>
      </w:pPr>
      <w:r>
        <w:t xml:space="preserve">1. der Verdacht einer Erkrankung, die Erkrankung sowie der Tod in Bezug auf die folgenden Krankheiten:</w:t>
      </w:r>
    </w:p>
    <w:p>
      <w:pPr>
        <w:ind w:left="780"/>
      </w:pPr>
      <w:r>
        <w:t xml:space="preserve">a) Botulismus,</w:t>
      </w:r>
    </w:p>
    <w:p>
      <w:pPr>
        <w:ind w:left="780"/>
      </w:pPr>
      <w:r>
        <w:t xml:space="preserve">b) Cholera,</w:t>
      </w:r>
    </w:p>
    <w:p>
      <w:pPr>
        <w:ind w:left="780"/>
      </w:pPr>
      <w:r>
        <w:t xml:space="preserve">c) Diphtherie,</w:t>
      </w:r>
    </w:p>
    <w:p>
      <w:pPr>
        <w:ind w:left="780"/>
      </w:pPr>
      <w:r>
        <w:t xml:space="preserve">d) humane spongiforme Enzephalopathie, außer familiär-hereditärer Formen,</w:t>
      </w:r>
    </w:p>
    <w:p>
      <w:pPr>
        <w:ind w:left="780"/>
      </w:pPr>
      <w:r>
        <w:t xml:space="preserve">e) akute Virushepatitis,</w:t>
      </w:r>
    </w:p>
    <w:p>
      <w:pPr>
        <w:ind w:left="780"/>
      </w:pPr>
      <w:r>
        <w:t xml:space="preserve">f) enteropathisches hämolytisch-urämisches Syndrom (HUS),</w:t>
      </w:r>
    </w:p>
    <w:p>
      <w:pPr>
        <w:ind w:left="780"/>
      </w:pPr>
      <w:r>
        <w:t xml:space="preserve">g) virusbedingtes hämorrhagisches Fieber,</w:t>
      </w:r>
    </w:p>
    <w:p>
      <w:pPr>
        <w:ind w:left="780"/>
      </w:pPr>
      <w:r>
        <w:t xml:space="preserve">h) Keuchhusten,</w:t>
      </w:r>
    </w:p>
    <w:p>
      <w:pPr>
        <w:ind w:left="780"/>
      </w:pPr>
      <w:r>
        <w:t xml:space="preserve">i) Masern,</w:t>
      </w:r>
    </w:p>
    <w:p>
      <w:pPr>
        <w:ind w:left="780"/>
      </w:pPr>
      <w:r>
        <w:t xml:space="preserve">j) Meningokokken-Meningitis oder -Sepsis,</w:t>
      </w:r>
    </w:p>
    <w:p>
      <w:pPr>
        <w:ind w:left="780"/>
      </w:pPr>
      <w:r>
        <w:t xml:space="preserve">k) Milzbrand,</w:t>
      </w:r>
    </w:p>
    <w:p>
      <w:pPr>
        <w:ind w:left="780"/>
      </w:pPr>
      <w:r>
        <w:t xml:space="preserve">l) Mumps,</w:t>
      </w:r>
    </w:p>
    <w:p>
      <w:pPr>
        <w:ind w:left="780"/>
      </w:pPr>
      <w:r>
        <w:t xml:space="preserve">m) Pest,</w:t>
      </w:r>
    </w:p>
    <w:p>
      <w:pPr>
        <w:ind w:left="780"/>
      </w:pPr>
      <w:r>
        <w:t xml:space="preserve">n) Poliomyelitis,</w:t>
      </w:r>
    </w:p>
    <w:p>
      <w:pPr>
        <w:ind w:left="780"/>
      </w:pPr>
      <w:r>
        <w:t xml:space="preserve">o) Röteln einschließlich Rötelnembryopathie,</w:t>
      </w:r>
    </w:p>
    <w:p>
      <w:pPr>
        <w:ind w:left="780"/>
      </w:pPr>
      <w:r>
        <w:t xml:space="preserve">p) Tollwut,</w:t>
      </w:r>
    </w:p>
    <w:p>
      <w:pPr>
        <w:ind w:left="780"/>
      </w:pPr>
      <w:r>
        <w:t xml:space="preserve">q) Typhus abdominalis oder Paratyphus,</w:t>
      </w:r>
    </w:p>
    <w:p>
      <w:pPr>
        <w:ind w:left="780"/>
      </w:pPr>
      <w:r>
        <w:t xml:space="preserve">r) Windpocken,</w:t>
      </w:r>
    </w:p>
    <w:p>
      <w:pPr>
        <w:ind w:left="780"/>
      </w:pPr>
      <w:r>
        <w:t xml:space="preserve">s) zoonotische Influenza,</w:t>
      </w:r>
    </w:p>
    <w:p>
      <w:pPr>
        <w:ind w:left="780"/>
      </w:pPr>
      <w:r>
        <w:t xml:space="preserve">t) (weggefallen)</w:t>
      </w:r>
    </w:p>
    <w:p>
      <w:pPr>
        <w:ind w:left="780"/>
      </w:pPr>
      <w:r>
        <w:t xml:space="preserve">u) durch Orthopockenviren verursachte Krankheiten,</w:t>
      </w:r>
    </w:p>
    <w:p>
      <w:pPr>
        <w:ind w:left="420"/>
      </w:pPr>
      <w:r>
        <w:t xml:space="preserve">1a. die Erkrankung und der Tod in Bezug auf folgende Krankheiten:</w:t>
      </w:r>
    </w:p>
    <w:p>
      <w:pPr>
        <w:ind w:left="780"/>
      </w:pPr>
      <w:r>
        <w:t xml:space="preserve">a) behandlungsbedürftige Tuberkulose, auch wenn ein bakteriologischer Nachweis nicht vorliegt,</w:t>
      </w:r>
    </w:p>
    <w:p>
      <w:pPr>
        <w:ind w:left="780"/>
      </w:pPr>
      <w:r>
        <w:t xml:space="preserve">b) Clostridioides-difficile-Infektion mit klinisch schwerem Verlauf; ein klinisch schwerer Verlauf liegt vor, wenn</w:t>
      </w:r>
    </w:p>
    <w:p>
      <w:pPr>
        <w:ind w:left="1140"/>
      </w:pPr>
      <w:r>
        <w:t xml:space="preserve">aa) der Erkrankte zur Behandlung einer ambulant erworbenen Clostridioides-difficile-Infektion in eine medizinische Einrichtung aufgenommen wird,</w:t>
      </w:r>
    </w:p>
    <w:p>
      <w:pPr>
        <w:ind w:left="1140"/>
      </w:pPr>
      <w:r>
        <w:t xml:space="preserve">bb) der Erkrankte zur Behandlung der Clostridioides-difficile-Infektion oder ihrer Komplikationen auf eine Intensivstation verlegt wird,</w:t>
      </w:r>
    </w:p>
    <w:p>
      <w:pPr>
        <w:ind w:left="1140"/>
      </w:pPr>
      <w:r>
        <w:t xml:space="preserve">cc) ein chirurgischer Eingriff, zum Beispiel Kolektomie, auf Grund eines Megakolons, einer Perforation oder einer refraktären Kolitis erfolgt oder</w:t>
      </w:r>
    </w:p>
    <w:p>
      <w:pPr>
        <w:ind w:left="1140"/>
      </w:pPr>
      <w:r>
        <w:t xml:space="preserve">dd) der Erkrankte innerhalb von 30 Tagen nach der Feststellung der Clostridioides-difficile-Infektion verstirbt und die Infektion als direkte Todesursache oder als zum Tode beitragende Erkrankung gewertet wurde,</w:t>
      </w:r>
    </w:p>
    <w:p>
      <w:pPr>
        <w:ind w:left="420"/>
      </w:pPr>
      <w:r>
        <w:t xml:space="preserve">2. der Verdacht auf und die Erkrankung an einer mikrobiell bedingten Lebensmittelvergiftung oder an einer akuten infektiösen Gastroenteritis, wenn</w:t>
      </w:r>
    </w:p>
    <w:p>
      <w:pPr>
        <w:ind w:left="780"/>
      </w:pPr>
      <w:r>
        <w:t xml:space="preserve">a) eine Person betroffen ist, die eine Tätigkeit im Sinne des § 42 Abs. 1 ausübt,</w:t>
      </w:r>
    </w:p>
    <w:p>
      <w:pPr>
        <w:ind w:left="780"/>
      </w:pPr>
      <w:r>
        <w:t xml:space="preserve">b) zwei oder mehr gleichartige Erkrankungen auftreten, bei denen ein epidemischer Zusammenhang wahrscheinlich ist oder vermutet wird,</w:t>
      </w:r>
    </w:p>
    <w:p>
      <w:pPr>
        <w:ind w:left="420"/>
      </w:pPr>
      <w:r>
        <w:t xml:space="preserve">3. der Verdacht einer über das übliche Ausmaß einer Impfreaktion hinausgehenden gesundheitlichen Schädigung,</w:t>
      </w:r>
    </w:p>
    <w:p>
      <w:pPr>
        <w:ind w:left="420"/>
      </w:pPr>
      <w:r>
        <w:t xml:space="preserve">4. die Verletzung eines Menschen durch ein tollwutkrankes, -verdächtiges oder -ansteckungsverdächtiges Tier sowie die Berührung eines solchen Tieres oder Tierkörpers,</w:t>
      </w:r>
    </w:p>
    <w:p>
      <w:pPr>
        <w:ind w:left="420"/>
      </w:pPr>
      <w:r>
        <w:t xml:space="preserve">5. der Verdacht einer Erkrankung, die Erkrankung sowie der Tod, in Bezug auf eine bedrohliche übertragbare Krankheit, die nicht bereits nach den Nummern 1 bis 4 meldepflichtig ist.</w:t>
      </w:r>
    </w:p>
    <w:p>
      <w:r>
        <w:t xml:space="preserve">Die Meldung nach Satz 1 hat gemäß § 8 Absatz 1 Nummer 1, 3 bis 8, § 9 Absatz 1, 2, 3 Satz 1 oder 3 zu erfolgen.</w:t>
      </w:r>
    </w:p>
    <w:p>
      <w:r>
        <w:t xml:space="preserve">(2) Dem Gesundheitsamt ist über die Meldung nach Absatz 1 Satz 1 Nummer 1 Buchstabe i hinaus zu melden, wenn Personen an einer subakuten sklerosierenden Panenzephalitis infolge einer Maserninfektion erkranken oder versterben. Dem Gesundheitsamt ist über die Meldung nach Absatz 1 Satz 1 Nummer 1a Buchstabe a hinaus zu melden, wenn Personen, die an einer behandlungsbedürftigen Lungentuberkulose erkrankt sind, eine Behandlung verweigern oder abbrechen. Die Meldung nach den Sätzen 1 und 2 hat gemäß § 8 Absatz 1 Nummer 1, § 9 Absatz 1 und 3 Satz 1 oder 3 zu erfolgen.</w:t>
      </w:r>
    </w:p>
    <w:p>
      <w:r>
        <w:t xml:space="preserve">(3) Namentlich ist das Auftreten von zwei oder mehr nosokomialen Infektionen zu melden, bei denen ein epidemischer Zusammenhang wahrscheinlich ist oder vermutet wird. Die Meldung nach Satz 1 hat gemäß § 8 Absatz 1 Nummer 1, 3 oder 5 und gemäß § 9 Absatz 1, 2, 3 Satz 1 oder 3 zu erfolgen.</w:t>
      </w:r>
    </w:p>
    <w:p>
      <w:r>
        <w:rPr>
          <w:color w:val="555555"/>
          <w:sz w:val="17"/>
        </w:rPr>
        <w:t xml:space="preserve">Zitiervorschlag: § 6 IfSG</w:t>
      </w:r>
    </w:p>
    <w:p>
      <w:r>
        <w:rPr>
          <w:color w:val="555555"/>
          <w:sz w:val="17"/>
        </w:rPr>
        <w:t xml:space="preserve">Quelle: Bundesamt für Justiz, abgerufen 04.07.2026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https://recht.nulegal.eu/gesetze/IfSG/6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