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IfSG — Arbeits- und sozialrechtliche Sondervorschriften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20.09.2022 (konsolidierte Textfassung, kein amtliches Inkrafttretensdatum)</w:t>
      </w:r>
    </w:p>
    <w:p>
      <w:r>
        <w:t xml:space="preserve">(1) Wird ein Beschäftigter während seines Urlaubs nach § 30, auch in Verbindung mit § 32, abgesondert oder hat er sich auf Grund einer nach § 36 Absatz 8 Satz 1 Nummer 1 erlassenen Rechtsverordnung abzusondern, so werden die Tage der Absonderung nicht auf den Jahresurlaub angerechnet.</w:t>
      </w:r>
    </w:p>
    <w:p>
      <w:r>
        <w:t xml:space="preserve">(2) Kranke und Ausscheider, die länger als sechs Monate Anspruch auf eine Entschädigung nach § 56 Absatz 1 Satz 1 oder Satz 2 haben oder mit hoher Wahrscheinlichkeit haben werden, gelten als Menschen mit Behinderungen im Sinne des Dritten Buches Sozialgesetzbuch.</w:t>
      </w:r>
    </w:p>
    <w:p>
      <w:r>
        <w:rPr>
          <w:color w:val="555555"/>
          <w:sz w:val="17"/>
        </w:rPr>
        <w:t xml:space="preserve">Zitiervorschlag: § 59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