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IfSG — Aufwendungserstattung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Entschädigungsberechtigte im Sinne des § 56 Absatz 1 und 1a, die der Pflichtversicherung in der gesetzlichen Kranken-, Renten- sowie der sozialen Pflegeversicherung nicht unterliegen, haben gegenüber dem nach § 66 Absatz 1 Satz 1 zur Zahlung verpflichteten Land einen Anspruch auf Erstattung ihrer Aufwendungen für soziale Sicherung in angemessenem Umfang. In den Fällen, in denen sie Netto-Arbeitsentgelt und Arbeitseinkommen aus einer Tätigkeit beziehen, die als Ersatz der verbotenen Tätigkeit ausgeübt wird, mindert sich der Anspruch nach Satz 1 in dem Verhältnis dieses Einkommens zur ungekürzten Entschädigung.</w:t>
      </w:r>
    </w:p>
    <w:p>
      <w:r>
        <w:rPr>
          <w:color w:val="555555"/>
          <w:sz w:val="17"/>
        </w:rPr>
        <w:t xml:space="preserve">Zitiervorschlag: § 58 IfSG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