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54b IfSG — Vollzug durch das Eisenbahn-Bundesamt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09.12.2022 (konsolidierte Textfassung, kein amtliches Inkrafttretensdatum)</w:t>
      </w:r>
    </w:p>
    <w:p>
      <w:r>
        <w:t xml:space="preserve">Im Bereich der Eisenbahnen des Bundes und der Magnetschwebebahnen obliegt der Vollzug dieses Gesetzes für Schienenfahrzeuge sowie für Anlagen zur ausschließlichen Befüllung von Schienenfahrzeugen dem Eisenbahn-Bundesamt, soweit die Aufgaben des Gesundheitsamtes und der zuständigen Behörde nach den §§ 15a, 37 bis 39 und 41 betroffen sind.</w:t>
      </w:r>
    </w:p>
    <w:p>
      <w:r>
        <w:rPr>
          <w:color w:val="555555"/>
          <w:sz w:val="17"/>
        </w:rPr>
        <w:t xml:space="preserve">Zitiervorschlag: § 54b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https://recht.nulegal.eu/gesetze/IfSG/54b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