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 IfSG — Abgabe</w:t>
      </w:r>
    </w:p>
    <w:p>
      <w:r>
        <w:rPr>
          <w:color w:val="555555"/>
          <w:sz w:val="18"/>
        </w:rPr>
        <w:t xml:space="preserve">Infektionsschutzgesetz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Krankheitserreger sowie Material, das Krankheitserreger enthält, dürfen nur an denjenigen abgegeben werden, der eine Erlaubnis besitzt, unter Aufsicht eines Erlaubnisinhabers tätig ist oder einer Erlaubnis nach § 45 Absatz 2 Nummer 1 oder Nummer 3 nicht bedarf. Satz 1 gilt nicht für staatliche human- oder veterinärmedizinische Untersuchungseinrichtungen.</w:t>
      </w:r>
    </w:p>
    <w:p>
      <w:r>
        <w:rPr>
          <w:color w:val="555555"/>
          <w:sz w:val="17"/>
        </w:rPr>
        <w:t xml:space="preserve">Zitiervorschlag: § 52 IfSG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https://recht.nulegal.eu/gesetze/IfSG/52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