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IfSG — Veränderungsanzeige</w:t>
      </w:r>
    </w:p>
    <w:p>
      <w:r>
        <w:rPr>
          <w:color w:val="555555"/>
          <w:sz w:val="18"/>
        </w:rPr>
        <w:t xml:space="preserve">Infektionsschutzgesetz</w:t>
      </w:r>
    </w:p>
    <w:p>
      <w:r>
        <w:rPr>
          <w:color w:val="555555"/>
          <w:sz w:val="18"/>
        </w:rPr>
        <w:t xml:space="preserve">Stand: 10.06.2019 (konsolidierte Textfassung, kein amtliches Inkrafttretensdatum)</w:t>
      </w:r>
    </w:p>
    <w:p>
      <w:r>
        <w:t xml:space="preserve">Wer eine in § 44 genannte Tätigkeit ausübt, hat jede wesentliche Veränderung der Beschaffenheit der Räume und Einrichtungen, der Entsorgungsmaßnahmen sowie von Art und Umfang der Tätigkeit unverzüglich der zuständigen Behörde anzuzeigen. Anzuzeigen ist auch die Beendigung oder Wiederaufnahme der Tätigkeit. § 49 Abs. 1 Satz 3 gilt entsprechend. Die Anzeigepflicht gilt nicht für Personen, die auf der Grundlage des § 46 tätig sind.</w:t>
      </w:r>
    </w:p>
    <w:p>
      <w:r>
        <w:rPr>
          <w:color w:val="555555"/>
          <w:sz w:val="17"/>
        </w:rPr>
        <w:t xml:space="preserve">Zitiervorschlag: § 50 IfSG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https://recht.nulegal.eu/gesetze/IfSG/50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