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IfSG — Versagungsgründe, Voraussetzungen für die Erlaubnis</w:t>
      </w:r>
    </w:p>
    <w:p>
      <w:r>
        <w:rPr>
          <w:color w:val="555555"/>
          <w:sz w:val="18"/>
        </w:rPr>
        <w:t xml:space="preserve">Infektionsschutzgesetz</w:t>
      </w:r>
    </w:p>
    <w:p>
      <w:r>
        <w:rPr>
          <w:color w:val="555555"/>
          <w:sz w:val="18"/>
        </w:rPr>
        <w:t xml:space="preserve">Stand: 10.06.2019 (konsolidierte Textfassung, kein amtliches Inkrafttretensdatum)</w:t>
      </w:r>
    </w:p>
    <w:p>
      <w:r>
        <w:t xml:space="preserve">(1) Die Erlaubnis ist zu versagen, wenn der Antragsteller</w:t>
      </w:r>
    </w:p>
    <w:p>
      <w:pPr>
        <w:ind w:left="420"/>
      </w:pPr>
      <w:r>
        <w:t xml:space="preserve">1. die erforderliche Sachkenntnis nicht besitzt oder</w:t>
      </w:r>
    </w:p>
    <w:p>
      <w:pPr>
        <w:ind w:left="420"/>
      </w:pPr>
      <w:r>
        <w:t xml:space="preserve">2. sich als unzuverlässig in Bezug auf die Tätigkeiten erwiesen hat, für deren Ausübung die Erlaubnis beantragt wird.</w:t>
      </w:r>
    </w:p>
    <w:p>
      <w:r>
        <w:t xml:space="preserve">(2) Die erforderliche Sachkenntnis wird durch</w:t>
      </w:r>
    </w:p>
    <w:p>
      <w:pPr>
        <w:ind w:left="420"/>
      </w:pPr>
      <w:r>
        <w:t xml:space="preserve">1. den Abschluss eines Studiums der Human-, Zahn- oder Veterinärmedizin, der Pharmazie oder den Abschluss eines naturwissenschaftlichen Fachhochschul- oder Universitätsstudiums mit mikrobiologischen Inhalten und</w:t>
      </w:r>
    </w:p>
    <w:p>
      <w:pPr>
        <w:ind w:left="420"/>
      </w:pPr>
      <w:r>
        <w:t xml:space="preserve">2. eine mindestens zweijährige hauptberufliche Tätigkeit mit Krankheitserregern unter Aufsicht einer Person, die im Besitz der Erlaubnis zum Arbeiten mit Krankheitserregern ist,</w:t>
      </w:r>
    </w:p>
    <w:p>
      <w:r>
        <w:t xml:space="preserve">nachgewiesen. Die zuständige Behörde hat auch eine andere, mindestens zweijährige hauptberufliche Tätigkeit auf dem Gebiet der Bakteriologie, Mykologie, Parasitologie oder Virologie als Nachweis der Sachkenntnis nach Nummer 2 anzuerkennen, wenn der Antragsteller bei dieser Tätigkeit eine gleichwertige Sachkenntnis erworben hat.</w:t>
      </w:r>
    </w:p>
    <w:p>
      <w:r>
        <w:t xml:space="preserve">(3) Die Erlaubnis ist auf bestimmte Tätigkeiten und auf bestimmte Krankheitserreger zu beschränken und mit Auflagen zu verbinden, soweit dies zur Verhütung übertragbarer Krankheiten erforderlich ist. Die zuständige Behörde kann Personen, die ein naturwissenschaftliches Fachhochschul- oder Universitätsstudium ohne mikrobiologische Inhalte oder ein ingenieurwissenschaftliches Fachhochschul- oder Universitätsstudium mit mikrobiologischen Inhalten abgeschlossen haben oder die die Voraussetzungen nach Absatz 2 Satz 1 Nr. 2 nur teilweise erfüllen, eine Erlaubnis nach Satz 1 erteilen, wenn der Antragsteller für den eingeschränkten Tätigkeitsbereich eine ausreichende Sachkenntnis erworben hat.</w:t>
      </w:r>
    </w:p>
    <w:p>
      <w:r>
        <w:t xml:space="preserve">(4) Bei Antragstellern, die nicht die Approbation oder Bestallung als Arzt, Zahnarzt oder Tierarzt besitzen, darf sich die Erlaubnis nicht auf den direkten oder indirekten Nachweis eines Krankheitserregers für die Feststellung einer Infektion oder übertragbaren Krankheit erstrecken. Satz 1 gilt nicht für Antragsteller, die Arbeiten im Auftrag eines Arztes, Zahnarztes oder Tierarztes, die im Besitz der Erlaubnis sind, oder Untersuchungen in Krankenhäusern für die unmittelbare Behandlung der Patienten des Krankenhauses durchführen.</w:t>
      </w:r>
    </w:p>
    <w:p>
      <w:r>
        <w:rPr>
          <w:color w:val="555555"/>
          <w:sz w:val="17"/>
        </w:rPr>
        <w:t xml:space="preserve">Zitiervorschlag: § 47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