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IfSG — Ausnahmen</w:t>
      </w:r>
    </w:p>
    <w:p>
      <w:r>
        <w:rPr>
          <w:color w:val="555555"/>
          <w:sz w:val="18"/>
        </w:rPr>
        <w:t xml:space="preserve">Infektionsschutzgesetz</w:t>
      </w:r>
    </w:p>
    <w:p>
      <w:r>
        <w:rPr>
          <w:color w:val="555555"/>
          <w:sz w:val="18"/>
        </w:rPr>
        <w:t xml:space="preserve">Stand: 28.01.2022 (konsolidierte Textfassung, kein amtliches Inkrafttretensdatum)</w:t>
      </w:r>
    </w:p>
    <w:p>
      <w:r>
        <w:t xml:space="preserve">(1) Einer Erlaubnis nach § 44 bedürfen nicht Personen, die zur selbständigen Ausübung des Berufs als Arzt, Zahnarzt oder Tierarzt berechtigt sind, für mikrobiologische Untersuchungen zur orientierenden medizinischen und veterinärmedizinischen Diagnostik mittels solcher kultureller Verfahren, die auf die primäre Anzucht und nachfolgender Subkultur zum Zwecke der Resistenzbestimmung beschränkt sind und bei denen die angewendeten Methoden nicht auf den spezifischen Nachweis meldepflichtiger Krankheitserreger gerichtet sind, soweit die Untersuchungen für die unmittelbare Behandlung der eigenen Patienten für die eigene Praxis durchgeführt werden.</w:t>
      </w:r>
    </w:p>
    <w:p>
      <w:r>
        <w:t xml:space="preserve">(2) Eine Erlaubnis nach § 44 ist nicht erforderlich für</w:t>
      </w:r>
    </w:p>
    <w:p>
      <w:pPr>
        <w:ind w:left="420"/>
      </w:pPr>
      <w:r>
        <w:t xml:space="preserve">1. Sterilitätsprüfungen, Bestimmung der Koloniezahl und sonstige Arbeiten zur mikrobiologischen Qualitätssicherung bei der Herstellung, Prüfung und der Überwachung des Verkehrs mit</w:t>
      </w:r>
    </w:p>
    <w:p>
      <w:pPr>
        <w:ind w:left="780"/>
      </w:pPr>
      <w:r>
        <w:t xml:space="preserve">a) Arzneimitteln,</w:t>
      </w:r>
    </w:p>
    <w:p>
      <w:pPr>
        <w:ind w:left="780"/>
      </w:pPr>
      <w:r>
        <w:t xml:space="preserve">b) Tierarzneimitteln,</w:t>
      </w:r>
    </w:p>
    <w:p>
      <w:pPr>
        <w:ind w:left="780"/>
      </w:pPr>
      <w:r>
        <w:t xml:space="preserve">c) Medizinprodukten,</w:t>
      </w:r>
    </w:p>
    <w:p>
      <w:pPr>
        <w:ind w:left="420"/>
      </w:pPr>
      <w:r>
        <w:t xml:space="preserve">2. Sterilitätsprüfungen, Bestimmung der Koloniezahl und sonstige Arbeiten zur mikrobiologischen Qualitätssicherung, soweit diese nicht dem spezifischen Nachweis von Krankheitserregern dienen und dazu Verfahrensschritte zur gezielten Anreicherung oder gezielten Vermehrung von Krankheitserregern beinhalten,</w:t>
      </w:r>
    </w:p>
    <w:p>
      <w:pPr>
        <w:ind w:left="420"/>
      </w:pPr>
      <w:r>
        <w:t xml:space="preserve">3. Sterilitätsprüfungen, Bestimmung der Koloniezahl und sonstige Arbeiten zur mikrobiologischen Qualitätssicherung, wenn</w:t>
      </w:r>
    </w:p>
    <w:p>
      <w:pPr>
        <w:ind w:left="780"/>
      </w:pPr>
      <w:r>
        <w:t xml:space="preserve">a) diese durch die in Absatz 1 bezeichneten Personen durchgeführt werden,</w:t>
      </w:r>
    </w:p>
    <w:p>
      <w:pPr>
        <w:ind w:left="780"/>
      </w:pPr>
      <w:r>
        <w:t xml:space="preserve">b) der Qualitätssicherung von mikrobiologischen Untersuchungen nach Absatz 1 dienen und</w:t>
      </w:r>
    </w:p>
    <w:p>
      <w:pPr>
        <w:ind w:left="780"/>
      </w:pPr>
      <w:r>
        <w:t xml:space="preserve">c) von der jeweiligen Berufskammer vorgesehen sind.</w:t>
      </w:r>
    </w:p>
    <w:p>
      <w:r>
        <w:t xml:space="preserve">(3) Die zuständige Behörde hat Personen für sonstige Arbeiten zur mikrobiologischen Qualitätssicherung, die auf die primäre Anzucht auf Selektivmedien beschränkt sind, von der Erlaubnispflicht nach § 44 freizustellen, wenn die Personen im Rahmen einer mindestens zweijährigen Tätigkeit auf dem Gebiet der mikrobiologischen Qualitätssicherung oder im Rahmen einer staatlich geregelten Ausbildung die zur Ausübung der beabsichtigten Tätigkeiten erforderliche Sachkunde erworben haben.</w:t>
      </w:r>
    </w:p>
    <w:p>
      <w:r>
        <w:t xml:space="preserve">(4) Die zuständige Behörde hat Tätigkeiten im Sinne der Absätze 1, 2 und 3 zu untersagen, wenn eine Person, die die Arbeiten ausführt, sich bezüglich der erlaubnisfreien Tätigkeiten nach den Absätzen 1, 2 oder 3 als unzuverlässig erwiesen hat.</w:t>
      </w:r>
    </w:p>
    <w:p>
      <w:r>
        <w:rPr>
          <w:color w:val="555555"/>
          <w:sz w:val="17"/>
        </w:rPr>
        <w:t xml:space="preserve">Zitiervorschlag: § 45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