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IfSG — Tätigkeits- und Beschäftigungsverbote</w:t>
      </w:r>
    </w:p>
    <w:p>
      <w:r>
        <w:rPr>
          <w:color w:val="555555"/>
          <w:sz w:val="18"/>
        </w:rPr>
        <w:t xml:space="preserve">Infektionsschutzgesetz</w:t>
      </w:r>
    </w:p>
    <w:p>
      <w:r>
        <w:rPr>
          <w:color w:val="555555"/>
          <w:sz w:val="18"/>
        </w:rPr>
        <w:t xml:space="preserve">Stand: 10.06.2019 (konsolidierte Textfassung, kein amtliches Inkrafttretensdatum)</w:t>
      </w:r>
    </w:p>
    <w:p>
      <w:r>
        <w:t xml:space="preserve">(1) Personen, die</w:t>
      </w:r>
    </w:p>
    <w:p>
      <w:pPr>
        <w:ind w:left="420"/>
      </w:pPr>
      <w:r>
        <w:t xml:space="preserve">1. an Typhus abdominalis, Paratyphus, Cholera, Shigellenruhr, Salmonellose, einer anderen infektiösen Gastroenteritis oder Virushepatitis A oder E erkrankt oder dessen verdächtig sind,</w:t>
      </w:r>
    </w:p>
    <w:p>
      <w:pPr>
        <w:ind w:left="420"/>
      </w:pPr>
      <w:r>
        <w:t xml:space="preserve">2. an infizierten Wunden oder an Hautkrankheiten erkrankt sind, bei denen die Möglichkeit besteht, dass deren Krankheitserreger über Lebensmittel übertragen werden können,</w:t>
      </w:r>
    </w:p>
    <w:p>
      <w:pPr>
        <w:ind w:left="420"/>
      </w:pPr>
      <w:r>
        <w:t xml:space="preserve">3. die Krankheitserreger Shigellen, Salmonellen, enterohämorrhagische Escherichia coli oder Choleravibrionen ausscheiden,</w:t>
      </w:r>
    </w:p>
    <w:p>
      <w:r>
        <w:t xml:space="preserve">dürfen nicht tätig sein oder beschäftigt werden</w:t>
      </w:r>
    </w:p>
    <w:p>
      <w:pPr>
        <w:ind w:left="420"/>
      </w:pPr>
      <w:r>
        <w:t xml:space="preserve">a) beim Herstellen, Behandeln oder Inverkehrbringen der in Absatz 2 genannten Lebensmittel, wenn sie dabei mit diesen in Berührung kommen, oder</w:t>
      </w:r>
    </w:p>
    <w:p>
      <w:pPr>
        <w:ind w:left="420"/>
      </w:pPr>
      <w:r>
        <w:t xml:space="preserve">b) in Küchen von Gaststätten und sonstigen Einrichtungen mit oder zur Gemeinschaftsverpflegung.</w:t>
      </w:r>
    </w:p>
    <w:p>
      <w:r>
        <w:t xml:space="preserve">Satz 1 gilt entsprechend für Personen, die mit Bedarfsgegenständen, die für die dort genannten Tätigkeiten verwendet werden, so in Berührung kommen, dass eine Übertragung von Krankheitserregern auf die Lebensmittel im Sinne des Absatzes 2 zu befürchten ist. Die Sätze 1 und 2 gelten nicht für den privaten hauswirtschaftlichen Bereich.</w:t>
      </w:r>
    </w:p>
    <w:p>
      <w:r>
        <w:t xml:space="preserve">(2) Lebensmittel im Sinne des Absatzes 1 sind</w:t>
      </w:r>
    </w:p>
    <w:p>
      <w:pPr>
        <w:ind w:left="420"/>
      </w:pPr>
      <w:r>
        <w:t xml:space="preserve">1. Fleisch, Geflügelfleisch und Erzeugnisse daraus</w:t>
      </w:r>
    </w:p>
    <w:p>
      <w:pPr>
        <w:ind w:left="420"/>
      </w:pPr>
      <w:r>
        <w:t xml:space="preserve">2. Milch und Erzeugnisse auf Milchbasis</w:t>
      </w:r>
    </w:p>
    <w:p>
      <w:pPr>
        <w:ind w:left="420"/>
      </w:pPr>
      <w:r>
        <w:t xml:space="preserve">3. Fische, Krebse oder Weichtiere und Erzeugnisse daraus</w:t>
      </w:r>
    </w:p>
    <w:p>
      <w:pPr>
        <w:ind w:left="420"/>
      </w:pPr>
      <w:r>
        <w:t xml:space="preserve">4. Eiprodukte</w:t>
      </w:r>
    </w:p>
    <w:p>
      <w:pPr>
        <w:ind w:left="420"/>
      </w:pPr>
      <w:r>
        <w:t xml:space="preserve">5. Säuglings- und Kleinkindernahrung</w:t>
      </w:r>
    </w:p>
    <w:p>
      <w:pPr>
        <w:ind w:left="420"/>
      </w:pPr>
      <w:r>
        <w:t xml:space="preserve">6. Speiseeis und Speiseeishalberzeugnisse</w:t>
      </w:r>
    </w:p>
    <w:p>
      <w:pPr>
        <w:ind w:left="420"/>
      </w:pPr>
      <w:r>
        <w:t xml:space="preserve">7. Backwaren mit nicht durchgebackener oder durcherhitzter Füllung oder Auflage</w:t>
      </w:r>
    </w:p>
    <w:p>
      <w:pPr>
        <w:ind w:left="420"/>
      </w:pPr>
      <w:r>
        <w:t xml:space="preserve">8. Feinkost-, Rohkost- und Kartoffelsalate, Marinaden, Mayonnaisen, andere emulgierte Soßen, Nahrungshefen</w:t>
      </w:r>
    </w:p>
    <w:p>
      <w:pPr>
        <w:ind w:left="420"/>
      </w:pPr>
      <w:r>
        <w:t xml:space="preserve">9. Sprossen und Keimlinge zum Rohverzehr sowie Samen zur Herstellung von Sprossen und Keimlingen zum Rohverzehr.</w:t>
      </w:r>
    </w:p>
    <w:p>
      <w:r>
        <w:t xml:space="preserve">(3) Personen, die in amtlicher Eigenschaft, auch im Rahmen ihrer Ausbildung, mit den in Absatz 2 bezeichneten Lebensmitteln oder mit Bedarfsgegenständen im Sinne des Absatzes 1 Satz 2 in Berührung kommen, dürfen ihre Tätigkeit nicht ausüben, wenn sie an einer der in Absatz 1 Nr. 1 genannten Krankheiten erkrankt oder dessen verdächtig sind, an einer der in Absatz 1 Nr. 2 genannten Krankheiten erkrankt sind oder die in Absatz 1 Nr. 3 genannten Krankheitserreger ausscheiden.</w:t>
      </w:r>
    </w:p>
    <w:p>
      <w:r>
        <w:t xml:space="preserve">(4) Das Gesundheitsamt kann Ausnahmen von den Verboten nach dieser Vorschrift zulassen, wenn Maßnahmen durchgeführt werden, mit denen eine Übertragung der aufgeführten Erkrankungen und Krankheitserreger verhütet werden kann.</w:t>
      </w:r>
    </w:p>
    <w:p>
      <w:r>
        <w:t xml:space="preserve">(5) Das Bundesministerium für Gesundheit wird ermächtigt, durch Rechtsverordnung mit Zustimmung des Bundesrates den Kreis der in Absatz 1 Nr. 1 und 2 genannten Krankheiten, der in Absatz 1 Nr. 3 genannten Krankheitserreger und der in Absatz 2 genannten Lebensmittel einzuschränken, wenn epidemiologische Erkenntnisse dies zulassen, oder zu erweitern, wenn dies zum Schutz der menschlichen Gesundheit vor einer Gefährdung durch Krankheitserreger erforderlich ist. In dringenden Fällen kann zum Schutz der Bevölkerung die Rechtsverordnung ohne Zustimmung des Bundesrates erlassen werden. Eine auf der Grundlage des Satzes 2 erlassene Verordnung tritt ein Jahr nach ihrem Inkrafttreten außer Kraft; ihre Geltungsdauer kann mit Zustimmung des Bundesrates verlängert werden.</w:t>
      </w:r>
    </w:p>
    <w:p>
      <w:r>
        <w:rPr>
          <w:color w:val="555555"/>
          <w:sz w:val="17"/>
        </w:rPr>
        <w:t xml:space="preserve">Zitiervorschlag: § 42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