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IfSG — Abwasser</w:t>
      </w:r>
    </w:p>
    <w:p>
      <w:r>
        <w:rPr>
          <w:color w:val="555555"/>
          <w:sz w:val="18"/>
        </w:rPr>
        <w:t xml:space="preserve">Infektionsschutzgesetz</w:t>
      </w:r>
    </w:p>
    <w:p>
      <w:r>
        <w:rPr>
          <w:color w:val="555555"/>
          <w:sz w:val="18"/>
        </w:rPr>
        <w:t xml:space="preserve">Stand: 10.06.2019 (konsolidierte Textfassung, kein amtliches Inkrafttretensdatum)</w:t>
      </w:r>
    </w:p>
    <w:p>
      <w:r>
        <w:t xml:space="preserve">(1) Die Abwasserbeseitigungspflichtigen haben darauf hinzuwirken, dass Abwasser so beseitigt wird, dass Gefahren für die menschliche Gesundheit durch Krankheitserreger nicht entstehen. Einrichtungen zur Beseitigung des in Satz 1 genannten Abwassers unterliegen der infektionshygienischen Überwachung durch die zuständige Behörde.</w:t>
      </w:r>
    </w:p>
    <w:p>
      <w:r>
        <w:t xml:space="preserve">(2) Die Landesregierungen werden ermächtigt, bezüglich des Abwassers durch Rechtsverordnung entsprechende Gebote und Verbote zur Verhütung übertragbarer Krankheiten zu erlassen. Die Landesregierungen können die Ermächtigung durch Rechtsverordnung auf andere Stellen übertragen. Das Grundrecht der Unverletzlichkeit der Wohnung (Artikel 13 Abs. 1 Grundgesetz) kann insoweit eingeschränkt werden.</w:t>
      </w:r>
    </w:p>
    <w:p>
      <w:r>
        <w:rPr>
          <w:color w:val="555555"/>
          <w:sz w:val="17"/>
        </w:rPr>
        <w:t xml:space="preserve">Zitiervorschlag: § 41 IfSG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